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17" w:rsidRDefault="007E646D" w:rsidP="00584517">
      <w:pPr>
        <w:pStyle w:val="CompanyName"/>
        <w:spacing w:after="0" w:line="240" w:lineRule="auto"/>
        <w:ind w:left="0"/>
      </w:pPr>
      <w:r>
        <w:rPr>
          <w:noProof/>
        </w:rPr>
        <w:drawing>
          <wp:anchor distT="0" distB="0" distL="114300" distR="114300" simplePos="0" relativeHeight="251658240" behindDoc="1" locked="0" layoutInCell="1" allowOverlap="1" wp14:anchorId="7CA87A47" wp14:editId="6667DE51">
            <wp:simplePos x="0" y="0"/>
            <wp:positionH relativeFrom="column">
              <wp:posOffset>-485775</wp:posOffset>
            </wp:positionH>
            <wp:positionV relativeFrom="paragraph">
              <wp:posOffset>-152401</wp:posOffset>
            </wp:positionV>
            <wp:extent cx="1000125" cy="828675"/>
            <wp:effectExtent l="0" t="0" r="9525" b="9525"/>
            <wp:wrapNone/>
            <wp:docPr id="1" name="Picture 1" descr="C:\Users\Ben\Documents\Drafts\URARA\Vestiges2016Feb\UtahRockArt_Logo_Group.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C:\Users\Ben\Documents\Drafts\URARA\Vestiges2016Feb\UtahRockArt_Logo_Group.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517">
        <w:t xml:space="preserve">       Utah Rock Art Research Association</w:t>
      </w:r>
    </w:p>
    <w:p w:rsidR="00584517" w:rsidRDefault="00584517" w:rsidP="00584517">
      <w:pPr>
        <w:pStyle w:val="Heading7"/>
        <w:shd w:val="clear" w:color="auto" w:fill="D9D9D9" w:themeFill="background1" w:themeFillShade="D9"/>
      </w:pPr>
      <w:r>
        <w:t>P.O. Box 511324 Salt Lake City, UT 84151-1324</w:t>
      </w:r>
      <w:r>
        <w:tab/>
      </w:r>
      <w:hyperlink r:id="rId11" w:history="1">
        <w:r w:rsidRPr="00FA438C">
          <w:rPr>
            <w:rStyle w:val="Hyperlink"/>
            <w:color w:val="auto"/>
            <w:u w:val="none"/>
          </w:rPr>
          <w:t>www.utahrockart.org</w:t>
        </w:r>
      </w:hyperlink>
      <w:r w:rsidRPr="00FA438C">
        <w:t xml:space="preserve"> </w:t>
      </w:r>
    </w:p>
    <w:p w:rsidR="000D0982" w:rsidRDefault="00616434"/>
    <w:p w:rsidR="00584517" w:rsidRDefault="00D0692B" w:rsidP="00584517">
      <w:pPr>
        <w:ind w:left="900"/>
      </w:pPr>
      <w:r>
        <w:t>August 1</w:t>
      </w:r>
      <w:r w:rsidR="00DE6406">
        <w:t>8</w:t>
      </w:r>
      <w:r>
        <w:t>, 2016</w:t>
      </w:r>
    </w:p>
    <w:p w:rsidR="00F54221" w:rsidRDefault="004E7A19" w:rsidP="000B3532">
      <w:pPr>
        <w:spacing w:after="0" w:line="240" w:lineRule="auto"/>
        <w:ind w:left="900"/>
      </w:pPr>
      <w:r>
        <w:t xml:space="preserve">BLM </w:t>
      </w:r>
      <w:r w:rsidR="00614D79">
        <w:t>Monticello</w:t>
      </w:r>
      <w:r>
        <w:t xml:space="preserve"> Field Office</w:t>
      </w:r>
    </w:p>
    <w:p w:rsidR="004E7A19" w:rsidRDefault="004E7A19" w:rsidP="000B3532">
      <w:pPr>
        <w:spacing w:after="0" w:line="240" w:lineRule="auto"/>
        <w:ind w:left="900"/>
      </w:pPr>
      <w:r>
        <w:t xml:space="preserve">Attention: </w:t>
      </w:r>
      <w:r w:rsidR="00614D79">
        <w:t xml:space="preserve">Don </w:t>
      </w:r>
      <w:proofErr w:type="spellStart"/>
      <w:r w:rsidR="00614D79">
        <w:t>Simonis</w:t>
      </w:r>
      <w:proofErr w:type="spellEnd"/>
    </w:p>
    <w:p w:rsidR="004E7A19" w:rsidRDefault="00614D79" w:rsidP="000B3532">
      <w:pPr>
        <w:spacing w:after="0" w:line="240" w:lineRule="auto"/>
        <w:ind w:left="900"/>
      </w:pPr>
      <w:r>
        <w:t>365 North Main</w:t>
      </w:r>
    </w:p>
    <w:p w:rsidR="004E7A19" w:rsidRDefault="00614D79" w:rsidP="000B3532">
      <w:pPr>
        <w:spacing w:line="240" w:lineRule="auto"/>
        <w:ind w:left="900"/>
      </w:pPr>
      <w:r>
        <w:t>Monticello</w:t>
      </w:r>
      <w:r w:rsidR="00D0692B">
        <w:t xml:space="preserve">, UT </w:t>
      </w:r>
      <w:r>
        <w:t>84535</w:t>
      </w:r>
    </w:p>
    <w:p w:rsidR="004E7A19" w:rsidRDefault="004E7A19" w:rsidP="00F54221">
      <w:pPr>
        <w:ind w:left="900"/>
      </w:pPr>
      <w:r>
        <w:t xml:space="preserve">Dear </w:t>
      </w:r>
      <w:r w:rsidR="00614D79">
        <w:t>Don</w:t>
      </w:r>
      <w:r>
        <w:t>:</w:t>
      </w:r>
    </w:p>
    <w:p w:rsidR="004E7A19" w:rsidRPr="00A31FC7" w:rsidRDefault="004E7A19" w:rsidP="00F54221">
      <w:pPr>
        <w:ind w:left="900"/>
      </w:pPr>
      <w:r w:rsidRPr="00A31FC7">
        <w:t xml:space="preserve">Thank you for the opportunity to review and comment on </w:t>
      </w:r>
      <w:r w:rsidR="00183C6D">
        <w:t xml:space="preserve">the </w:t>
      </w:r>
      <w:r w:rsidRPr="00A31FC7">
        <w:t xml:space="preserve">Class I Cultural Resource Inventory </w:t>
      </w:r>
      <w:r w:rsidR="003C22D8">
        <w:t xml:space="preserve">(Class I) </w:t>
      </w:r>
      <w:r w:rsidRPr="00A31FC7">
        <w:t xml:space="preserve">in development for the </w:t>
      </w:r>
      <w:r w:rsidR="00E03A07">
        <w:t>Monticello</w:t>
      </w:r>
      <w:r w:rsidR="00D0692B">
        <w:t xml:space="preserve"> Field Office (M</w:t>
      </w:r>
      <w:r w:rsidRPr="00A31FC7">
        <w:t>FO).</w:t>
      </w:r>
    </w:p>
    <w:p w:rsidR="00A31FC7" w:rsidRPr="00A31FC7" w:rsidRDefault="00A31FC7" w:rsidP="00A31FC7">
      <w:pPr>
        <w:spacing w:after="0"/>
        <w:ind w:left="900"/>
      </w:pPr>
      <w:r w:rsidRPr="00A31FC7">
        <w:t>The Utah Rock Art Research Association (URARA) is the largest organization dedicated to Utah rock art. Our mission is:</w:t>
      </w:r>
    </w:p>
    <w:p w:rsidR="00A31FC7" w:rsidRPr="00A31FC7" w:rsidRDefault="00A31FC7" w:rsidP="00A31FC7">
      <w:pPr>
        <w:numPr>
          <w:ilvl w:val="0"/>
          <w:numId w:val="6"/>
        </w:numPr>
        <w:spacing w:after="0" w:line="240" w:lineRule="auto"/>
      </w:pPr>
      <w:r w:rsidRPr="00A31FC7">
        <w:t xml:space="preserve">To lead in the preservation and understanding of the value of rock art. </w:t>
      </w:r>
    </w:p>
    <w:p w:rsidR="00A31FC7" w:rsidRPr="00A31FC7" w:rsidRDefault="00A31FC7" w:rsidP="00A31FC7">
      <w:pPr>
        <w:numPr>
          <w:ilvl w:val="0"/>
          <w:numId w:val="6"/>
        </w:numPr>
        <w:spacing w:after="0" w:line="240" w:lineRule="auto"/>
      </w:pPr>
      <w:r w:rsidRPr="00A31FC7">
        <w:t>To encourage the appreciation and enjoyment of rock art sites.</w:t>
      </w:r>
    </w:p>
    <w:p w:rsidR="00A31FC7" w:rsidRPr="00A31FC7" w:rsidRDefault="00A31FC7" w:rsidP="00A31FC7">
      <w:pPr>
        <w:numPr>
          <w:ilvl w:val="0"/>
          <w:numId w:val="6"/>
        </w:numPr>
        <w:spacing w:after="0" w:line="240" w:lineRule="auto"/>
      </w:pPr>
      <w:r w:rsidRPr="00A31FC7">
        <w:t>To assist in the study, presentation, and publication of rock art research.</w:t>
      </w:r>
    </w:p>
    <w:p w:rsidR="00A31FC7" w:rsidRDefault="00A31FC7" w:rsidP="00A31FC7">
      <w:pPr>
        <w:ind w:left="900"/>
      </w:pPr>
      <w:r w:rsidRPr="00A31FC7">
        <w:t xml:space="preserve">Our 300 members have professional, academic, and avocational interest in Utah rock art. Combined, our membership represents the largest body of knowledge regarding Utah rock art. </w:t>
      </w:r>
      <w:r>
        <w:t xml:space="preserve">We have worked with the </w:t>
      </w:r>
      <w:r w:rsidR="00E03A07">
        <w:t>Monticello</w:t>
      </w:r>
      <w:r w:rsidR="003D0917">
        <w:t xml:space="preserve"> Field Office (M</w:t>
      </w:r>
      <w:r>
        <w:t>FO) as a consulting party and have an extensive history of collaborating with the BLM throughout Utah.</w:t>
      </w:r>
    </w:p>
    <w:p w:rsidR="004E7A19" w:rsidRPr="00A31FC7" w:rsidRDefault="004E7A19" w:rsidP="00A31FC7">
      <w:pPr>
        <w:ind w:left="900"/>
      </w:pPr>
      <w:r w:rsidRPr="00A31FC7">
        <w:t>We appreciate the level of effort and attention to detail that has gone into the development o</w:t>
      </w:r>
      <w:r w:rsidR="003D0917">
        <w:t>f the predictive model for the M</w:t>
      </w:r>
      <w:r w:rsidRPr="00A31FC7">
        <w:t>FO. However, we have concerns about the quality of the data used in the model</w:t>
      </w:r>
      <w:r w:rsidR="00E03A07">
        <w:t xml:space="preserve"> and the </w:t>
      </w:r>
      <w:r w:rsidRPr="00A31FC7">
        <w:t>planned use</w:t>
      </w:r>
      <w:r w:rsidR="00E03A07">
        <w:t xml:space="preserve"> of the model</w:t>
      </w:r>
      <w:r w:rsidRPr="00A31FC7">
        <w:t xml:space="preserve">. </w:t>
      </w:r>
    </w:p>
    <w:p w:rsidR="00F54221" w:rsidRPr="00E539FB" w:rsidRDefault="00F54221" w:rsidP="00E539FB">
      <w:pPr>
        <w:spacing w:after="0"/>
        <w:ind w:left="900"/>
        <w:rPr>
          <w:b/>
        </w:rPr>
      </w:pPr>
      <w:r w:rsidRPr="00E539FB">
        <w:rPr>
          <w:b/>
        </w:rPr>
        <w:t xml:space="preserve">Data </w:t>
      </w:r>
      <w:r w:rsidR="00E539FB" w:rsidRPr="00E539FB">
        <w:rPr>
          <w:b/>
        </w:rPr>
        <w:t>Quality</w:t>
      </w:r>
      <w:r w:rsidR="0057473C">
        <w:rPr>
          <w:b/>
        </w:rPr>
        <w:t xml:space="preserve"> </w:t>
      </w:r>
    </w:p>
    <w:p w:rsidR="00100D52" w:rsidRPr="00100D52" w:rsidRDefault="00100D52" w:rsidP="00F54221">
      <w:pPr>
        <w:autoSpaceDE w:val="0"/>
        <w:autoSpaceDN w:val="0"/>
        <w:adjustRightInd w:val="0"/>
        <w:spacing w:after="0" w:line="240" w:lineRule="auto"/>
        <w:ind w:left="900"/>
        <w:rPr>
          <w:rFonts w:cs="Times New Roman"/>
          <w:i/>
        </w:rPr>
      </w:pPr>
      <w:r w:rsidRPr="00100D52">
        <w:rPr>
          <w:rFonts w:cs="Times New Roman"/>
          <w:i/>
        </w:rPr>
        <w:t xml:space="preserve">Small </w:t>
      </w:r>
      <w:r>
        <w:rPr>
          <w:rFonts w:cs="Times New Roman"/>
          <w:i/>
        </w:rPr>
        <w:t xml:space="preserve">Site </w:t>
      </w:r>
      <w:r w:rsidRPr="00100D52">
        <w:rPr>
          <w:rFonts w:cs="Times New Roman"/>
          <w:i/>
        </w:rPr>
        <w:t>Sample Size</w:t>
      </w:r>
    </w:p>
    <w:p w:rsidR="00F54221" w:rsidRDefault="003C22D8" w:rsidP="00855CFE">
      <w:pPr>
        <w:autoSpaceDE w:val="0"/>
        <w:autoSpaceDN w:val="0"/>
        <w:adjustRightInd w:val="0"/>
        <w:spacing w:after="0" w:line="240" w:lineRule="auto"/>
        <w:ind w:left="900"/>
        <w:rPr>
          <w:rFonts w:cs="Times New Roman"/>
        </w:rPr>
      </w:pPr>
      <w:r>
        <w:rPr>
          <w:rFonts w:cs="Times New Roman"/>
        </w:rPr>
        <w:t xml:space="preserve">The MFO has an extensive number of cultural sites within its boundaries. The Class </w:t>
      </w:r>
      <w:r w:rsidR="000530EE">
        <w:rPr>
          <w:rFonts w:cs="Times New Roman"/>
        </w:rPr>
        <w:t>I indicates that there are 19,622</w:t>
      </w:r>
      <w:r w:rsidR="005E1C06">
        <w:rPr>
          <w:rStyle w:val="FootnoteReference"/>
          <w:rFonts w:cs="Times New Roman"/>
        </w:rPr>
        <w:footnoteReference w:id="1"/>
      </w:r>
      <w:r>
        <w:rPr>
          <w:rFonts w:cs="Times New Roman"/>
        </w:rPr>
        <w:t xml:space="preserve"> archeological sites within </w:t>
      </w:r>
      <w:r w:rsidR="005E1C06">
        <w:rPr>
          <w:rFonts w:cs="Times New Roman"/>
        </w:rPr>
        <w:t xml:space="preserve">the MFO boundaries. However, the Class I also </w:t>
      </w:r>
      <w:proofErr w:type="gramStart"/>
      <w:r w:rsidR="00F6396C">
        <w:rPr>
          <w:rFonts w:cs="Times New Roman"/>
        </w:rPr>
        <w:t>shows</w:t>
      </w:r>
      <w:proofErr w:type="gramEnd"/>
      <w:r w:rsidR="005E1C06">
        <w:rPr>
          <w:rFonts w:cs="Times New Roman"/>
        </w:rPr>
        <w:t xml:space="preserve"> that </w:t>
      </w:r>
      <w:r w:rsidR="00AE7FC6">
        <w:rPr>
          <w:rFonts w:cs="Times New Roman"/>
        </w:rPr>
        <w:t>only</w:t>
      </w:r>
      <w:r w:rsidR="005E1C06">
        <w:rPr>
          <w:rFonts w:cs="Times New Roman"/>
        </w:rPr>
        <w:t xml:space="preserve"> slightly over </w:t>
      </w:r>
      <w:r w:rsidR="000530EE">
        <w:rPr>
          <w:rFonts w:cs="Times New Roman"/>
        </w:rPr>
        <w:t>5</w:t>
      </w:r>
      <w:r w:rsidR="005E1C06">
        <w:rPr>
          <w:rFonts w:cs="Times New Roman"/>
        </w:rPr>
        <w:t>% of the MFO has been surveyed</w:t>
      </w:r>
      <w:r w:rsidR="005E1C06">
        <w:rPr>
          <w:rStyle w:val="FootnoteReference"/>
          <w:rFonts w:cs="Times New Roman"/>
        </w:rPr>
        <w:footnoteReference w:id="2"/>
      </w:r>
      <w:r w:rsidR="005E1C06">
        <w:rPr>
          <w:rFonts w:cs="Times New Roman"/>
        </w:rPr>
        <w:t xml:space="preserve"> and that </w:t>
      </w:r>
      <w:r w:rsidR="00855CFE">
        <w:rPr>
          <w:rFonts w:cs="Times New Roman"/>
        </w:rPr>
        <w:t xml:space="preserve">surveys comprising </w:t>
      </w:r>
      <w:r w:rsidR="000530EE">
        <w:rPr>
          <w:rFonts w:cs="Times New Roman"/>
        </w:rPr>
        <w:t>only 2.1</w:t>
      </w:r>
      <w:r w:rsidR="005E1C06">
        <w:rPr>
          <w:rFonts w:cs="Times New Roman"/>
        </w:rPr>
        <w:t>%</w:t>
      </w:r>
      <w:r w:rsidR="005E1C06">
        <w:rPr>
          <w:rStyle w:val="FootnoteReference"/>
          <w:rFonts w:cs="Times New Roman"/>
        </w:rPr>
        <w:footnoteReference w:id="3"/>
      </w:r>
      <w:r w:rsidR="005E1C06">
        <w:rPr>
          <w:rFonts w:cs="Times New Roman"/>
        </w:rPr>
        <w:t xml:space="preserve"> of the MFO acreage </w:t>
      </w:r>
      <w:r w:rsidR="004653DC">
        <w:rPr>
          <w:rFonts w:cs="Times New Roman"/>
        </w:rPr>
        <w:t>are</w:t>
      </w:r>
      <w:r w:rsidR="005E1C06">
        <w:rPr>
          <w:rFonts w:cs="Times New Roman"/>
        </w:rPr>
        <w:t xml:space="preserve"> used in the development of the predictive model. </w:t>
      </w:r>
    </w:p>
    <w:p w:rsidR="00855CFE" w:rsidRPr="00F54221" w:rsidRDefault="00855CFE" w:rsidP="00855CFE">
      <w:pPr>
        <w:autoSpaceDE w:val="0"/>
        <w:autoSpaceDN w:val="0"/>
        <w:adjustRightInd w:val="0"/>
        <w:spacing w:after="0" w:line="240" w:lineRule="auto"/>
        <w:ind w:left="900"/>
      </w:pPr>
    </w:p>
    <w:p w:rsidR="004653DC" w:rsidRDefault="00855CFE" w:rsidP="00100D52">
      <w:pPr>
        <w:ind w:left="900"/>
      </w:pPr>
      <w:r>
        <w:t>While the number of archeological sites is impressive it represents only a small sampling of the actual MFO. Additionally</w:t>
      </w:r>
      <w:r w:rsidR="00E539FB">
        <w:t xml:space="preserve">, the bulk of the data is derived from surveys associated with </w:t>
      </w:r>
      <w:r w:rsidR="00E539FB">
        <w:lastRenderedPageBreak/>
        <w:t xml:space="preserve">Section 106 of the National Historic Preservation Act due to “surface disturbing activities.” These activities tend to revolve around roads, pipelines, electrical and other transmission lines, </w:t>
      </w:r>
      <w:r w:rsidR="00757A87">
        <w:t xml:space="preserve">mineral leasing, </w:t>
      </w:r>
      <w:r>
        <w:t xml:space="preserve">fire mitigation, </w:t>
      </w:r>
      <w:r w:rsidR="00E539FB">
        <w:t>a</w:t>
      </w:r>
      <w:r w:rsidR="00413977">
        <w:t xml:space="preserve">nd construction. </w:t>
      </w:r>
      <w:r>
        <w:t>With the exception of fire mitigation, t</w:t>
      </w:r>
      <w:r w:rsidR="00413977">
        <w:t xml:space="preserve">hese </w:t>
      </w:r>
      <w:r w:rsidR="00E539FB">
        <w:t xml:space="preserve">activities generally occur in similar types of locations. </w:t>
      </w:r>
    </w:p>
    <w:p w:rsidR="004653DC" w:rsidRPr="004653DC" w:rsidRDefault="004653DC" w:rsidP="004653DC">
      <w:pPr>
        <w:autoSpaceDE w:val="0"/>
        <w:autoSpaceDN w:val="0"/>
        <w:adjustRightInd w:val="0"/>
        <w:spacing w:after="0" w:line="240" w:lineRule="auto"/>
        <w:ind w:left="1440" w:right="720"/>
        <w:rPr>
          <w:rFonts w:cs="Times New Roman"/>
          <w:sz w:val="20"/>
          <w:szCs w:val="20"/>
        </w:rPr>
      </w:pPr>
      <w:r w:rsidRPr="004653DC">
        <w:rPr>
          <w:rFonts w:cs="Times New Roman"/>
          <w:sz w:val="20"/>
          <w:szCs w:val="20"/>
        </w:rPr>
        <w:t>Because the models are built using known sites and inventory areas, they are biased by the areas that have received archaeological inventory. All areas have not been equally sampled by surveys, and the models produced are a reflection of the sites and environments that have been previously inventoried.</w:t>
      </w:r>
      <w:r w:rsidRPr="004653DC">
        <w:rPr>
          <w:rStyle w:val="FootnoteReference"/>
          <w:rFonts w:cs="Times New Roman"/>
          <w:sz w:val="20"/>
          <w:szCs w:val="20"/>
        </w:rPr>
        <w:footnoteReference w:id="4"/>
      </w:r>
    </w:p>
    <w:p w:rsidR="004653DC" w:rsidRDefault="004653DC" w:rsidP="004653DC">
      <w:pPr>
        <w:autoSpaceDE w:val="0"/>
        <w:autoSpaceDN w:val="0"/>
        <w:adjustRightInd w:val="0"/>
        <w:spacing w:after="0" w:line="240" w:lineRule="auto"/>
        <w:ind w:left="1440" w:right="720"/>
        <w:rPr>
          <w:rFonts w:ascii="Times New Roman" w:hAnsi="Times New Roman" w:cs="Times New Roman"/>
        </w:rPr>
      </w:pPr>
    </w:p>
    <w:p w:rsidR="00855CFE" w:rsidRDefault="009422CD" w:rsidP="004653DC">
      <w:pPr>
        <w:ind w:left="900"/>
      </w:pPr>
      <w:r>
        <w:t>Thus the data set is both small</w:t>
      </w:r>
      <w:r w:rsidR="003D0917">
        <w:t xml:space="preserve"> and </w:t>
      </w:r>
      <w:r>
        <w:t xml:space="preserve">a non-representative sample </w:t>
      </w:r>
      <w:r w:rsidR="003D0917">
        <w:t>of the M</w:t>
      </w:r>
      <w:r w:rsidR="00E539FB">
        <w:t xml:space="preserve">FO resources. </w:t>
      </w:r>
      <w:r w:rsidR="00100D52">
        <w:t>We believe that statistical cultural site prediction requires a solid data set that this model lacks</w:t>
      </w:r>
      <w:r w:rsidR="00855CFE">
        <w:t>.</w:t>
      </w:r>
      <w:r w:rsidR="00100D52">
        <w:t xml:space="preserve"> </w:t>
      </w:r>
    </w:p>
    <w:p w:rsidR="004045BE" w:rsidRDefault="004045BE" w:rsidP="004045BE">
      <w:pPr>
        <w:ind w:left="900"/>
      </w:pPr>
      <w:r>
        <w:t>The model results demonstrate our concern. Tables 8-5 and 8-6 provide, what appears to be, compelling data for site prediction. However, aggregate data is not provided. This is rectified in the chart below.</w:t>
      </w:r>
      <w:r>
        <w:rPr>
          <w:rStyle w:val="FootnoteReference"/>
        </w:rPr>
        <w:footnoteReference w:id="5"/>
      </w:r>
      <w:r>
        <w:t xml:space="preserve"> </w:t>
      </w:r>
    </w:p>
    <w:p w:rsidR="004045BE" w:rsidRDefault="004045BE" w:rsidP="004045BE">
      <w:pPr>
        <w:ind w:left="900"/>
      </w:pPr>
      <w:r w:rsidRPr="00BD4476">
        <w:rPr>
          <w:noProof/>
        </w:rPr>
        <w:drawing>
          <wp:inline distT="0" distB="0" distL="0" distR="0" wp14:anchorId="485B1CAE" wp14:editId="6A681201">
            <wp:extent cx="5289550" cy="126157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24" cy="1262929"/>
                    </a:xfrm>
                    <a:prstGeom prst="rect">
                      <a:avLst/>
                    </a:prstGeom>
                    <a:noFill/>
                    <a:ln>
                      <a:noFill/>
                    </a:ln>
                  </pic:spPr>
                </pic:pic>
              </a:graphicData>
            </a:graphic>
          </wp:inline>
        </w:drawing>
      </w:r>
    </w:p>
    <w:p w:rsidR="004045BE" w:rsidRDefault="004045BE" w:rsidP="004045BE">
      <w:pPr>
        <w:ind w:left="900"/>
      </w:pPr>
      <w:r>
        <w:t xml:space="preserve">The table above uses the preferred sample data for each of the eco-regions. We were unable to replicate the % Sites Predicted data in tables 8-5 to 8-6 so we substituted a calculation used in the Richfield Class I model for Total % Correct. </w:t>
      </w:r>
    </w:p>
    <w:p w:rsidR="004045BE" w:rsidRDefault="004045BE" w:rsidP="004045BE">
      <w:pPr>
        <w:autoSpaceDE w:val="0"/>
        <w:autoSpaceDN w:val="0"/>
        <w:adjustRightInd w:val="0"/>
        <w:spacing w:after="0" w:line="240" w:lineRule="auto"/>
        <w:ind w:left="900"/>
      </w:pPr>
      <w:r>
        <w:t xml:space="preserve">% Correct Site Cells max out at 55 .4% in the Forests eco-region, barely over a random toss of a coin. In the aggregate, the model accurately predicts site cells only 31.7% of the time. </w:t>
      </w:r>
    </w:p>
    <w:p w:rsidR="004045BE" w:rsidRDefault="004045BE" w:rsidP="004045BE">
      <w:pPr>
        <w:autoSpaceDE w:val="0"/>
        <w:autoSpaceDN w:val="0"/>
        <w:adjustRightInd w:val="0"/>
        <w:spacing w:after="0" w:line="240" w:lineRule="auto"/>
        <w:ind w:left="900"/>
      </w:pPr>
    </w:p>
    <w:p w:rsidR="004045BE" w:rsidRDefault="004045BE" w:rsidP="004045BE">
      <w:pPr>
        <w:autoSpaceDE w:val="0"/>
        <w:autoSpaceDN w:val="0"/>
        <w:adjustRightInd w:val="0"/>
        <w:spacing w:after="0" w:line="240" w:lineRule="auto"/>
        <w:ind w:left="900"/>
        <w:rPr>
          <w:rFonts w:cs="Times New Roman"/>
        </w:rPr>
      </w:pPr>
      <w:r>
        <w:t xml:space="preserve">The Class I material describes two types of errors that should try to be avoided. Wasteful errors are False Positives (a cell that isn’t a site that the model predicts as a site) and gross errors which are False Negatives (a site that the model predicts as a non-site). The class I material goes </w:t>
      </w:r>
      <w:r w:rsidRPr="006C61C4">
        <w:t>on to state: “</w:t>
      </w:r>
      <w:r w:rsidRPr="006C61C4">
        <w:rPr>
          <w:rFonts w:cs="Times New Roman"/>
        </w:rPr>
        <w:t>For management purposes however, gross errors (false negatives) are more costly than wasteful ones (false positives).”</w:t>
      </w:r>
      <w:r>
        <w:rPr>
          <w:rStyle w:val="FootnoteReference"/>
          <w:rFonts w:cs="Times New Roman"/>
        </w:rPr>
        <w:footnoteReference w:id="6"/>
      </w:r>
      <w:r>
        <w:rPr>
          <w:rFonts w:cs="Times New Roman"/>
        </w:rPr>
        <w:t xml:space="preserve"> Note that these costly gross errors are predicted 19.6% of the time.</w:t>
      </w:r>
    </w:p>
    <w:p w:rsidR="00D42035" w:rsidRDefault="00D42035" w:rsidP="006C61C4">
      <w:pPr>
        <w:autoSpaceDE w:val="0"/>
        <w:autoSpaceDN w:val="0"/>
        <w:adjustRightInd w:val="0"/>
        <w:spacing w:after="0" w:line="240" w:lineRule="auto"/>
        <w:ind w:left="900"/>
        <w:rPr>
          <w:i/>
        </w:rPr>
      </w:pPr>
    </w:p>
    <w:p w:rsidR="006C61C4" w:rsidRPr="0017551B" w:rsidRDefault="00BD4476" w:rsidP="007C5422">
      <w:pPr>
        <w:keepNext/>
        <w:autoSpaceDE w:val="0"/>
        <w:autoSpaceDN w:val="0"/>
        <w:adjustRightInd w:val="0"/>
        <w:spacing w:after="0" w:line="240" w:lineRule="auto"/>
        <w:ind w:left="907"/>
        <w:rPr>
          <w:i/>
        </w:rPr>
      </w:pPr>
      <w:r>
        <w:rPr>
          <w:i/>
        </w:rPr>
        <w:t xml:space="preserve">Sloppy, Incorrect, and Poorly Explained </w:t>
      </w:r>
      <w:r w:rsidR="0017551B" w:rsidRPr="0017551B">
        <w:rPr>
          <w:i/>
        </w:rPr>
        <w:t>Data</w:t>
      </w:r>
    </w:p>
    <w:p w:rsidR="00657176" w:rsidRDefault="00D42035" w:rsidP="007C5422">
      <w:pPr>
        <w:autoSpaceDE w:val="0"/>
        <w:autoSpaceDN w:val="0"/>
        <w:adjustRightInd w:val="0"/>
        <w:ind w:left="907"/>
        <w:rPr>
          <w:rFonts w:cs="Times New Roman"/>
        </w:rPr>
      </w:pPr>
      <w:r>
        <w:rPr>
          <w:rFonts w:cs="Times New Roman"/>
        </w:rPr>
        <w:t>The number of sites in the MFO is confusing based on the Class I report. The total number of sites is described as 19,622 in several places in the text</w:t>
      </w:r>
      <w:r w:rsidR="007C5422">
        <w:rPr>
          <w:rStyle w:val="FootnoteReference"/>
          <w:rFonts w:cs="Times New Roman"/>
        </w:rPr>
        <w:footnoteReference w:id="7"/>
      </w:r>
      <w:r>
        <w:rPr>
          <w:rFonts w:cs="Times New Roman"/>
        </w:rPr>
        <w:t xml:space="preserve"> and the number of sites used in the </w:t>
      </w:r>
      <w:r>
        <w:rPr>
          <w:rFonts w:cs="Times New Roman"/>
        </w:rPr>
        <w:lastRenderedPageBreak/>
        <w:t xml:space="preserve">predictive model is limited to 12,817. This is clearly explained in the text. </w:t>
      </w:r>
      <w:r w:rsidR="007C5422">
        <w:rPr>
          <w:rFonts w:cs="Times New Roman"/>
        </w:rPr>
        <w:t>However, what is not explained are the differences in multiple tables throughout the Class I. Tables 1-1 and 1-2 show a total of 12,434 sites, Tables 1-3 and 1-4 show a total of 13,165</w:t>
      </w:r>
      <w:r w:rsidR="00657176">
        <w:rPr>
          <w:rFonts w:cs="Times New Roman"/>
        </w:rPr>
        <w:t xml:space="preserve"> sites, Table 8-1 shows 19,277 while Table 8-7 shows 17,575 sites. </w:t>
      </w:r>
    </w:p>
    <w:p w:rsidR="00657176" w:rsidRDefault="007C5422" w:rsidP="007C5422">
      <w:pPr>
        <w:autoSpaceDE w:val="0"/>
        <w:autoSpaceDN w:val="0"/>
        <w:adjustRightInd w:val="0"/>
        <w:ind w:left="907"/>
        <w:rPr>
          <w:rFonts w:cs="Times New Roman"/>
        </w:rPr>
      </w:pPr>
      <w:r>
        <w:rPr>
          <w:rFonts w:cs="Times New Roman"/>
        </w:rPr>
        <w:t xml:space="preserve">The text on page 4-11 indicates that 229,848 acres have been surveyed but the following text and table describe 246,871 acres of surveys. </w:t>
      </w:r>
    </w:p>
    <w:p w:rsidR="004045BE" w:rsidRDefault="0005281A" w:rsidP="007C5422">
      <w:pPr>
        <w:autoSpaceDE w:val="0"/>
        <w:autoSpaceDN w:val="0"/>
        <w:adjustRightInd w:val="0"/>
        <w:ind w:left="907"/>
        <w:rPr>
          <w:rFonts w:cs="Times New Roman"/>
        </w:rPr>
      </w:pPr>
      <w:r>
        <w:rPr>
          <w:rFonts w:cs="Times New Roman"/>
        </w:rPr>
        <w:t xml:space="preserve">Likewise the number of rock art sites differs throughout the document. Table 1-3 and 1-4 show 308 sites. Tables 7-5 and 7-6 also show 308 sites but the paragraph above indicates that there are an additional 878 rock art sites are recorded as different site types. Table 8-1 identifies </w:t>
      </w:r>
      <w:r w:rsidR="006F6DD3">
        <w:rPr>
          <w:rFonts w:cs="Times New Roman"/>
        </w:rPr>
        <w:t>1,609 prehistoric rock art sites.</w:t>
      </w:r>
      <w:r w:rsidR="005A5074">
        <w:rPr>
          <w:rFonts w:cs="Times New Roman"/>
        </w:rPr>
        <w:t xml:space="preserve"> Table 8-7 identifies 394 prehistoric rock art sites. The lack of consistency within the document in describing sites creates concerns over the quality of the data within the predictive model.</w:t>
      </w:r>
    </w:p>
    <w:p w:rsidR="0017551B" w:rsidRDefault="0017551B" w:rsidP="007C5422">
      <w:pPr>
        <w:autoSpaceDE w:val="0"/>
        <w:autoSpaceDN w:val="0"/>
        <w:adjustRightInd w:val="0"/>
        <w:ind w:left="907"/>
      </w:pPr>
      <w:r>
        <w:t xml:space="preserve">Of significant concern </w:t>
      </w:r>
      <w:r w:rsidR="006F6DD3">
        <w:t>are</w:t>
      </w:r>
      <w:r>
        <w:t xml:space="preserve"> Table</w:t>
      </w:r>
      <w:r w:rsidR="006F6DD3">
        <w:t>s</w:t>
      </w:r>
      <w:r>
        <w:t xml:space="preserve"> 8-5</w:t>
      </w:r>
      <w:r w:rsidR="006F6DD3">
        <w:t xml:space="preserve"> and 8-6 which</w:t>
      </w:r>
      <w:r>
        <w:t xml:space="preserve"> represent the val</w:t>
      </w:r>
      <w:r w:rsidR="006F6DD3">
        <w:t xml:space="preserve">idity of the model for the </w:t>
      </w:r>
      <w:r>
        <w:t xml:space="preserve">MFO sites. </w:t>
      </w:r>
      <w:r w:rsidR="006F6DD3">
        <w:t>These</w:t>
      </w:r>
      <w:r>
        <w:t xml:space="preserve"> table</w:t>
      </w:r>
      <w:r w:rsidR="006F6DD3">
        <w:t>s</w:t>
      </w:r>
      <w:r>
        <w:t xml:space="preserve"> </w:t>
      </w:r>
      <w:r w:rsidR="006F6DD3">
        <w:t>are</w:t>
      </w:r>
      <w:r>
        <w:t xml:space="preserve"> exact duplicate</w:t>
      </w:r>
      <w:r w:rsidR="007A25BA">
        <w:t>s</w:t>
      </w:r>
      <w:r>
        <w:t xml:space="preserve"> of </w:t>
      </w:r>
      <w:r w:rsidR="006F6DD3">
        <w:t>data</w:t>
      </w:r>
      <w:r>
        <w:t xml:space="preserve"> from the Moab Class I Predictive Model. </w:t>
      </w:r>
      <w:r w:rsidR="006F6DD3">
        <w:t>It may be that this data is exactly the same across the two field office predictive models because data from the “eco-regions” were combined across the field offices. Or it may</w:t>
      </w:r>
      <w:r>
        <w:t xml:space="preserve"> be a “copy and paste” error. </w:t>
      </w:r>
      <w:r w:rsidR="006F6DD3">
        <w:t xml:space="preserve">URARA supports the idea of using cultural data across similar eco-regions in building the model. But since the models will be applied in an office-by-office context we believe that the model effectiveness should be tested within each field office. Since Tables 8-5 and 8-6 are either a textual error or are results across two field offices </w:t>
      </w:r>
      <w:r>
        <w:t>consulting parties have no data to evaluate</w:t>
      </w:r>
      <w:r w:rsidR="006F6DD3">
        <w:t xml:space="preserve"> the effectiveness of the model within the Monticello field office.</w:t>
      </w:r>
    </w:p>
    <w:p w:rsidR="003A1B11" w:rsidRPr="003A1B11" w:rsidRDefault="003A1B11" w:rsidP="00971EA0">
      <w:pPr>
        <w:keepNext/>
        <w:spacing w:after="0"/>
        <w:ind w:left="907"/>
        <w:rPr>
          <w:i/>
        </w:rPr>
      </w:pPr>
      <w:r>
        <w:rPr>
          <w:i/>
        </w:rPr>
        <w:t xml:space="preserve">Model </w:t>
      </w:r>
      <w:r w:rsidRPr="003A1B11">
        <w:rPr>
          <w:i/>
        </w:rPr>
        <w:t>Variables</w:t>
      </w:r>
      <w:r w:rsidR="00075DEA">
        <w:rPr>
          <w:i/>
        </w:rPr>
        <w:t xml:space="preserve"> – All Cultural Sites</w:t>
      </w:r>
    </w:p>
    <w:p w:rsidR="004D12D0" w:rsidRDefault="00DC2837" w:rsidP="00584517">
      <w:pPr>
        <w:ind w:left="900"/>
      </w:pPr>
      <w:r>
        <w:t xml:space="preserve">The model </w:t>
      </w:r>
      <w:r w:rsidR="00B8006A">
        <w:t>is based on</w:t>
      </w:r>
      <w:r>
        <w:t xml:space="preserve"> the world today</w:t>
      </w:r>
      <w:r w:rsidR="00B8006A">
        <w:t xml:space="preserve"> using variables that are derived from current geographic information systems (GIS) data points</w:t>
      </w:r>
      <w:r>
        <w:t xml:space="preserve">. </w:t>
      </w:r>
      <w:r w:rsidR="00B8006A">
        <w:t xml:space="preserve">Prehistoric people did not live in today’s world and were not concerned about modern GIS data layers. </w:t>
      </w:r>
      <w:r w:rsidR="008D1E19">
        <w:t xml:space="preserve">We are concerned that the </w:t>
      </w:r>
      <w:r w:rsidR="007C50E5">
        <w:t>model</w:t>
      </w:r>
      <w:r w:rsidR="008D1E19">
        <w:t xml:space="preserve"> does not consider temporal,</w:t>
      </w:r>
      <w:r w:rsidR="002B6CB0">
        <w:t xml:space="preserve"> climatic</w:t>
      </w:r>
      <w:r w:rsidR="007C50E5">
        <w:t>,</w:t>
      </w:r>
      <w:r w:rsidR="008D1E19">
        <w:t xml:space="preserve"> g</w:t>
      </w:r>
      <w:r w:rsidR="00F54221">
        <w:t xml:space="preserve">eographical, </w:t>
      </w:r>
      <w:r w:rsidR="008D1E19">
        <w:t>and cultural v</w:t>
      </w:r>
      <w:r w:rsidR="00F54221">
        <w:t>ariation</w:t>
      </w:r>
      <w:r w:rsidR="008D1E19">
        <w:t>.</w:t>
      </w:r>
      <w:r w:rsidR="00FE2579" w:rsidRPr="00FE2579">
        <w:t xml:space="preserve"> </w:t>
      </w:r>
      <w:r w:rsidR="008D1E19">
        <w:t xml:space="preserve"> Climate varies over time, </w:t>
      </w:r>
      <w:r w:rsidR="004D12D0">
        <w:t xml:space="preserve">so </w:t>
      </w:r>
      <w:r w:rsidR="008D1E19">
        <w:t xml:space="preserve">proximity </w:t>
      </w:r>
      <w:r w:rsidR="006A0042">
        <w:t xml:space="preserve">to water </w:t>
      </w:r>
      <w:r w:rsidR="008D1E19">
        <w:t xml:space="preserve">was not the same 1000 years ago as it is today as springs and lakes develop or dry up and rivers meander and change course. Metrics of site distance to current resources may not have been valid for people living long ago. </w:t>
      </w:r>
    </w:p>
    <w:p w:rsidR="008D1E19" w:rsidRPr="007C50E5" w:rsidRDefault="004D12D0" w:rsidP="00584517">
      <w:pPr>
        <w:ind w:left="900"/>
      </w:pPr>
      <w:r w:rsidRPr="007C50E5">
        <w:t xml:space="preserve">Assigning consistently weighted </w:t>
      </w:r>
      <w:r>
        <w:t>environmental</w:t>
      </w:r>
      <w:r w:rsidRPr="007C50E5">
        <w:t xml:space="preserve"> </w:t>
      </w:r>
      <w:r>
        <w:t>variables</w:t>
      </w:r>
      <w:r w:rsidRPr="007C50E5">
        <w:t xml:space="preserve"> to different </w:t>
      </w:r>
      <w:r w:rsidR="00971A9F">
        <w:t xml:space="preserve">cultural </w:t>
      </w:r>
      <w:r w:rsidRPr="007C50E5">
        <w:t>groups using the land at diff</w:t>
      </w:r>
      <w:r>
        <w:t xml:space="preserve">erent times is not valid. </w:t>
      </w:r>
      <w:r w:rsidR="008D1E19" w:rsidRPr="007C50E5">
        <w:t>Hunt</w:t>
      </w:r>
      <w:r w:rsidR="003D0917">
        <w:t>er gatherers moved through the M</w:t>
      </w:r>
      <w:r w:rsidR="008D1E19" w:rsidRPr="007C50E5">
        <w:t xml:space="preserve">FO differently than the more sedentary Fremont. While we appreciate the predictive model’s </w:t>
      </w:r>
      <w:r w:rsidR="00184B63" w:rsidRPr="007C50E5">
        <w:t xml:space="preserve">split between high elevation and low elevation zones we believe that this could be taken to a much broader level. </w:t>
      </w:r>
      <w:r w:rsidR="00075DEA">
        <w:t>There are many types of “splits” that could have been done to make the model more accurate.</w:t>
      </w:r>
    </w:p>
    <w:p w:rsidR="006F5722" w:rsidRDefault="006F5722" w:rsidP="00584517">
      <w:pPr>
        <w:ind w:left="900"/>
      </w:pPr>
      <w:r>
        <w:t>Just as proximity to water is important so is proximity to food sources, building materials, wood for heating and cooking. Many academic articles discuss an “economic” model for</w:t>
      </w:r>
      <w:r w:rsidR="00757A87">
        <w:t xml:space="preserve"> food procurement. Essentially, an economic model examines whether </w:t>
      </w:r>
      <w:r>
        <w:t>it cost</w:t>
      </w:r>
      <w:r w:rsidR="00757A87">
        <w:t>s</w:t>
      </w:r>
      <w:r>
        <w:t xml:space="preserve"> more calories </w:t>
      </w:r>
      <w:r w:rsidR="008314A2">
        <w:t xml:space="preserve">to </w:t>
      </w:r>
      <w:r>
        <w:lastRenderedPageBreak/>
        <w:t xml:space="preserve">produce the food than is gained from the consumption of the food. </w:t>
      </w:r>
      <w:r w:rsidR="00757A87">
        <w:t>These models evaluate a broad set of flora, fauna, and environmental variables</w:t>
      </w:r>
      <w:r w:rsidR="00971A9F">
        <w:t xml:space="preserve"> compared to travel and procurement costs</w:t>
      </w:r>
      <w:r w:rsidR="00757A87">
        <w:t xml:space="preserve">. </w:t>
      </w:r>
      <w:r>
        <w:t>Likewise, at a URARA symposium Jerry Spangler discussed his findings at Nine Mile Canyon that winter habitation sites were found closer to firewood.  If the BLM wants to build a strong predictive model the variables must consider the flora, fauna, and environment that are necessary for daily survival.</w:t>
      </w:r>
    </w:p>
    <w:p w:rsidR="00184B63" w:rsidRDefault="00075DEA" w:rsidP="00584517">
      <w:pPr>
        <w:ind w:left="900"/>
      </w:pPr>
      <w:r>
        <w:t>This</w:t>
      </w:r>
      <w:r w:rsidR="00184B63">
        <w:t xml:space="preserve"> predictive model </w:t>
      </w:r>
      <w:r>
        <w:t>uses</w:t>
      </w:r>
      <w:r w:rsidR="00184B63">
        <w:t xml:space="preserve"> broad simplification of temporal, </w:t>
      </w:r>
      <w:r w:rsidR="00463E8F">
        <w:t xml:space="preserve">climatic, </w:t>
      </w:r>
      <w:r w:rsidR="00184B63">
        <w:t xml:space="preserve">geographical, and cultural variation in order to reduce complexity in computer </w:t>
      </w:r>
      <w:r w:rsidR="006A0042">
        <w:t>processing</w:t>
      </w:r>
      <w:r w:rsidR="00184B63">
        <w:t xml:space="preserve">. </w:t>
      </w:r>
      <w:r w:rsidR="008501FB">
        <w:t>But r</w:t>
      </w:r>
      <w:r w:rsidR="00184B63">
        <w:t xml:space="preserve">eality </w:t>
      </w:r>
      <w:r w:rsidR="00184B63" w:rsidRPr="008501FB">
        <w:rPr>
          <w:i/>
        </w:rPr>
        <w:t>is</w:t>
      </w:r>
      <w:r w:rsidR="00184B63">
        <w:t xml:space="preserve"> complex and requires high </w:t>
      </w:r>
      <w:r w:rsidR="00FA0569">
        <w:t xml:space="preserve">data levels to </w:t>
      </w:r>
      <w:r>
        <w:t>accurately model</w:t>
      </w:r>
      <w:r w:rsidR="00FA0569">
        <w:t>. This requires d</w:t>
      </w:r>
      <w:r w:rsidR="00184B63">
        <w:t xml:space="preserve">ata, time, and resources which were not </w:t>
      </w:r>
      <w:r w:rsidR="006A0042">
        <w:t>used</w:t>
      </w:r>
      <w:r w:rsidR="00184B63">
        <w:t xml:space="preserve"> in the creation of the model.</w:t>
      </w:r>
      <w:r w:rsidR="0057473C">
        <w:t xml:space="preserve"> </w:t>
      </w:r>
      <w:r>
        <w:t xml:space="preserve">In our opinion, the model </w:t>
      </w:r>
      <w:r w:rsidR="006A0042">
        <w:t xml:space="preserve">design </w:t>
      </w:r>
      <w:r>
        <w:t>is insufficient to identify cultural site locations.</w:t>
      </w:r>
    </w:p>
    <w:p w:rsidR="00075DEA" w:rsidRPr="003A1B11" w:rsidRDefault="00075DEA" w:rsidP="00075DEA">
      <w:pPr>
        <w:spacing w:after="0"/>
        <w:ind w:left="900"/>
        <w:rPr>
          <w:i/>
        </w:rPr>
      </w:pPr>
      <w:r>
        <w:rPr>
          <w:i/>
        </w:rPr>
        <w:t xml:space="preserve">Model </w:t>
      </w:r>
      <w:r w:rsidRPr="003A1B11">
        <w:rPr>
          <w:i/>
        </w:rPr>
        <w:t>Variables</w:t>
      </w:r>
      <w:r>
        <w:rPr>
          <w:i/>
        </w:rPr>
        <w:t xml:space="preserve"> – Rock Art</w:t>
      </w:r>
    </w:p>
    <w:p w:rsidR="0072438D" w:rsidRDefault="000B3532" w:rsidP="00D47381">
      <w:pPr>
        <w:ind w:left="900"/>
      </w:pPr>
      <w:r>
        <w:t>T</w:t>
      </w:r>
      <w:r w:rsidR="00184B63">
        <w:t xml:space="preserve">here </w:t>
      </w:r>
      <w:r>
        <w:t xml:space="preserve">is </w:t>
      </w:r>
      <w:r w:rsidR="00184B63">
        <w:t xml:space="preserve">data </w:t>
      </w:r>
      <w:r>
        <w:t>relevant to rock art which is not part of the variables used in the model</w:t>
      </w:r>
      <w:r w:rsidR="00824C9D">
        <w:t xml:space="preserve">. </w:t>
      </w:r>
      <w:r w:rsidR="008501FB" w:rsidRPr="008501FB">
        <w:t>For example:</w:t>
      </w:r>
    </w:p>
    <w:p w:rsidR="0072438D" w:rsidRDefault="00824C9D" w:rsidP="0072438D">
      <w:pPr>
        <w:pStyle w:val="ListParagraph"/>
        <w:numPr>
          <w:ilvl w:val="0"/>
          <w:numId w:val="4"/>
        </w:numPr>
      </w:pPr>
      <w:r>
        <w:t>We know that rock art sites are much more common at canyon</w:t>
      </w:r>
      <w:r w:rsidR="005C01EE">
        <w:t xml:space="preserve"> and drainage</w:t>
      </w:r>
      <w:r>
        <w:t xml:space="preserve"> confluences</w:t>
      </w:r>
      <w:r w:rsidR="000B3532">
        <w:t xml:space="preserve">. </w:t>
      </w:r>
    </w:p>
    <w:p w:rsidR="0072438D" w:rsidRDefault="00184B63" w:rsidP="0072438D">
      <w:pPr>
        <w:pStyle w:val="ListParagraph"/>
        <w:numPr>
          <w:ilvl w:val="0"/>
          <w:numId w:val="4"/>
        </w:numPr>
      </w:pPr>
      <w:r>
        <w:t xml:space="preserve">URARA members have noted that rock art </w:t>
      </w:r>
      <w:r w:rsidR="00D47381">
        <w:t xml:space="preserve">is </w:t>
      </w:r>
      <w:r>
        <w:t xml:space="preserve">more prevalent on certain </w:t>
      </w:r>
      <w:r w:rsidR="008501FB">
        <w:t>rock strata</w:t>
      </w:r>
      <w:r>
        <w:t xml:space="preserve"> surfaces.</w:t>
      </w:r>
      <w:r w:rsidR="00CC1AC2">
        <w:rPr>
          <w:rStyle w:val="FootnoteReference"/>
        </w:rPr>
        <w:footnoteReference w:id="8"/>
      </w:r>
      <w:r>
        <w:t xml:space="preserve"> </w:t>
      </w:r>
    </w:p>
    <w:p w:rsidR="0072438D" w:rsidRDefault="00D47381" w:rsidP="0072438D">
      <w:pPr>
        <w:pStyle w:val="ListParagraph"/>
        <w:numPr>
          <w:ilvl w:val="0"/>
          <w:numId w:val="4"/>
        </w:numPr>
      </w:pPr>
      <w:r>
        <w:t xml:space="preserve">Protected rock surfaces (overhangs, alcoves, small caves) are important for rock art either because they have protected the rock art or were deliberately chosen as site locations. </w:t>
      </w:r>
    </w:p>
    <w:p w:rsidR="0072438D" w:rsidRDefault="008501FB" w:rsidP="0072438D">
      <w:pPr>
        <w:pStyle w:val="ListParagraph"/>
        <w:numPr>
          <w:ilvl w:val="0"/>
          <w:numId w:val="4"/>
        </w:numPr>
      </w:pPr>
      <w:r>
        <w:t>Isolated boulders independent of slope (may be found on talus slopes or flat terrain)</w:t>
      </w:r>
    </w:p>
    <w:p w:rsidR="00F304A7" w:rsidRDefault="00CC1AC2" w:rsidP="00F304A7">
      <w:pPr>
        <w:pStyle w:val="ListParagraph"/>
        <w:numPr>
          <w:ilvl w:val="0"/>
          <w:numId w:val="4"/>
        </w:numPr>
      </w:pPr>
      <w:r>
        <w:t xml:space="preserve">URARA members have also commented on aesthetics, acoustics, </w:t>
      </w:r>
      <w:proofErr w:type="spellStart"/>
      <w:r w:rsidR="00626042">
        <w:t>archeoastronomy</w:t>
      </w:r>
      <w:proofErr w:type="spellEnd"/>
      <w:r w:rsidR="00626042">
        <w:t xml:space="preserve">, </w:t>
      </w:r>
      <w:proofErr w:type="spellStart"/>
      <w:r w:rsidR="00626042">
        <w:t>viewshed</w:t>
      </w:r>
      <w:proofErr w:type="spellEnd"/>
      <w:r w:rsidR="00626042">
        <w:t xml:space="preserve">, prehistoric roads, horizontal rock surfaces, </w:t>
      </w:r>
      <w:r>
        <w:t xml:space="preserve">and a variety of other possible data points </w:t>
      </w:r>
      <w:r w:rsidR="00C44CA1">
        <w:t xml:space="preserve">not included in the model </w:t>
      </w:r>
      <w:r>
        <w:t>for the location of rock art sites.</w:t>
      </w:r>
    </w:p>
    <w:p w:rsidR="00570BF3" w:rsidRDefault="00971A9F" w:rsidP="00F304A7">
      <w:pPr>
        <w:pStyle w:val="ListParagraph"/>
        <w:numPr>
          <w:ilvl w:val="0"/>
          <w:numId w:val="4"/>
        </w:numPr>
      </w:pPr>
      <w:r>
        <w:t>Ethnographic research from modern Native American tribes indicate</w:t>
      </w:r>
      <w:r w:rsidR="00B70349">
        <w:t>s</w:t>
      </w:r>
      <w:r>
        <w:t xml:space="preserve"> that the “mythological l</w:t>
      </w:r>
      <w:r w:rsidR="00F304A7">
        <w:t xml:space="preserve">andscape” was important </w:t>
      </w:r>
      <w:r>
        <w:t>in terms of where sites were located.</w:t>
      </w:r>
      <w:r w:rsidR="00F304A7">
        <w:t xml:space="preserve"> These landscapes are places where one or more cultures imbue the land with meaning.    This meaning influences how a culture uses the land.  Elements of the land, such as springs, mountain peaks, certain boulders and caves may be seen as sacred or inhabited by spirits.  As such, they may be avoided, sites of prayers or be ceremonial sites.  Some archeologists believe many rock art panels are associated with what we call “symbolic” or “mythical” landscapes.  The rock art site participates in a cultural narrative rather being a located for geographic reasons such as distance to water, slope, elevation, etc. For example, certain </w:t>
      </w:r>
      <w:proofErr w:type="spellStart"/>
      <w:r w:rsidR="00F304A7">
        <w:t>Dinwoody</w:t>
      </w:r>
      <w:proofErr w:type="spellEnd"/>
      <w:r w:rsidR="00F304A7">
        <w:t xml:space="preserve"> petroglyphs in Wyoming are carved on a rock surface with special attention given to the way light and shadows cross the surface creating the impression of movement in the carving.  Petroglyph owls seem to open and close their eyes as the shadows shift.  Human figures appear </w:t>
      </w:r>
      <w:r w:rsidR="00F304A7">
        <w:lastRenderedPageBreak/>
        <w:t xml:space="preserve">to </w:t>
      </w:r>
      <w:proofErr w:type="gramStart"/>
      <w:r w:rsidR="00F304A7">
        <w:t>weep,</w:t>
      </w:r>
      <w:proofErr w:type="gramEnd"/>
      <w:r w:rsidR="00F304A7">
        <w:t xml:space="preserve"> light creates an impression of tears rolling down rock faces.  Carved suns seem to radiate light.   Thi</w:t>
      </w:r>
      <w:r w:rsidR="004F6DCC">
        <w:t xml:space="preserve">s </w:t>
      </w:r>
      <w:r w:rsidR="00F304A7">
        <w:t>is one of the many reasons why a statistical model designed to find repeating site locations based on topographic variables will not be successful predicting rock art sites whic</w:t>
      </w:r>
      <w:r w:rsidR="006F4B2D">
        <w:t xml:space="preserve">h reflect or participate and a </w:t>
      </w:r>
      <w:r w:rsidR="00F304A7">
        <w:t>landscape shaped by an ancient cultural narrative.</w:t>
      </w:r>
    </w:p>
    <w:p w:rsidR="006F4B2D" w:rsidRDefault="006F4B2D" w:rsidP="006F4B2D">
      <w:pPr>
        <w:ind w:left="900"/>
      </w:pPr>
      <w:r>
        <w:t>We understand that many of the variables that we mentioned are not within currently available GIS datasets. Our comments are on data quality and how it is degraded by the reliance on easy to obtain statistical data. We are very uncomfortable with the following statement:</w:t>
      </w:r>
    </w:p>
    <w:p w:rsidR="006F4B2D" w:rsidRPr="00C1336E" w:rsidRDefault="006F4B2D" w:rsidP="006F4B2D">
      <w:pPr>
        <w:autoSpaceDE w:val="0"/>
        <w:autoSpaceDN w:val="0"/>
        <w:adjustRightInd w:val="0"/>
        <w:spacing w:after="0" w:line="240" w:lineRule="auto"/>
        <w:ind w:left="1440"/>
        <w:rPr>
          <w:rFonts w:cs="Times New Roman"/>
          <w:sz w:val="20"/>
          <w:szCs w:val="20"/>
        </w:rPr>
      </w:pPr>
      <w:r w:rsidRPr="00C1336E">
        <w:rPr>
          <w:rFonts w:cs="Times New Roman"/>
          <w:sz w:val="20"/>
          <w:szCs w:val="20"/>
        </w:rPr>
        <w:t>As is commonly understood, the environment has not remained constant throughout the span of human occupation, and the environmental variables used in this model do not necessarily reflect the environment at the time that Native American groups occupied the area. Topography, exposed bedrock, surface geomorphology, soils, climate, precipitation, flora, and fauna have all changed throughout the human occupation, as have cultures, land use strategies, mobility, and technology. However, the intent of this modeling is to provide the BLM with an additional planning tool that identifies high to low probability areas for exposures of cultural material as observable today. The intent is not to model prehistoric and historic behaviors or the placement of sites on some ancient landscape that is no longer directly observable. As a discovery based model, the intention is to use the decades of inventory data that have been collected from the modern ground surface to interpret the patterns in observable site presence and absence. With this focus, the changing environment through time is not applicable to the modeling effort.</w:t>
      </w:r>
      <w:r w:rsidR="00C1336E" w:rsidRPr="00C1336E">
        <w:rPr>
          <w:rFonts w:cs="Times New Roman"/>
          <w:sz w:val="20"/>
          <w:szCs w:val="20"/>
        </w:rPr>
        <w:t xml:space="preserve"> </w:t>
      </w:r>
      <w:r w:rsidRPr="00C1336E">
        <w:rPr>
          <w:rFonts w:cs="Times New Roman"/>
          <w:sz w:val="20"/>
          <w:szCs w:val="20"/>
        </w:rPr>
        <w:t>Rather, it is the current environmental parameters that allow for the discovery of archaeological sites that is pertinent – whether or not a site is discoverable during an inventory of the modern ground surface.</w:t>
      </w:r>
      <w:r w:rsidR="00C1336E">
        <w:rPr>
          <w:rStyle w:val="FootnoteReference"/>
          <w:rFonts w:cs="Times New Roman"/>
          <w:sz w:val="20"/>
          <w:szCs w:val="20"/>
        </w:rPr>
        <w:footnoteReference w:id="9"/>
      </w:r>
    </w:p>
    <w:p w:rsidR="00C1336E" w:rsidRDefault="00C1336E" w:rsidP="00C1336E">
      <w:pPr>
        <w:autoSpaceDE w:val="0"/>
        <w:autoSpaceDN w:val="0"/>
        <w:adjustRightInd w:val="0"/>
        <w:spacing w:after="0" w:line="240" w:lineRule="auto"/>
        <w:ind w:left="900"/>
      </w:pPr>
    </w:p>
    <w:p w:rsidR="00C1336E" w:rsidRDefault="00C1336E" w:rsidP="00C1336E">
      <w:pPr>
        <w:autoSpaceDE w:val="0"/>
        <w:autoSpaceDN w:val="0"/>
        <w:adjustRightInd w:val="0"/>
        <w:spacing w:after="0" w:line="240" w:lineRule="auto"/>
        <w:ind w:left="900"/>
      </w:pPr>
      <w:r>
        <w:t xml:space="preserve">We doubt any prehistoric person made conscious decisions </w:t>
      </w:r>
      <w:r w:rsidR="00350DB0">
        <w:t xml:space="preserve">to build a house or make a pot in a site that would </w:t>
      </w:r>
      <w:r>
        <w:t>make life easier for the BLM a thousand years in the future.</w:t>
      </w:r>
    </w:p>
    <w:p w:rsidR="00AA1AB6" w:rsidRDefault="00AA1AB6" w:rsidP="00C1336E">
      <w:pPr>
        <w:autoSpaceDE w:val="0"/>
        <w:autoSpaceDN w:val="0"/>
        <w:adjustRightInd w:val="0"/>
        <w:spacing w:after="0" w:line="240" w:lineRule="auto"/>
        <w:ind w:left="900"/>
      </w:pPr>
    </w:p>
    <w:p w:rsidR="00AA1AB6" w:rsidRPr="00AA1AB6" w:rsidRDefault="00AA1AB6" w:rsidP="00C1336E">
      <w:pPr>
        <w:autoSpaceDE w:val="0"/>
        <w:autoSpaceDN w:val="0"/>
        <w:adjustRightInd w:val="0"/>
        <w:spacing w:after="0" w:line="240" w:lineRule="auto"/>
        <w:ind w:left="900"/>
        <w:rPr>
          <w:i/>
        </w:rPr>
      </w:pPr>
      <w:r w:rsidRPr="00AA1AB6">
        <w:rPr>
          <w:i/>
        </w:rPr>
        <w:t xml:space="preserve">The Proof Is In </w:t>
      </w:r>
      <w:proofErr w:type="gramStart"/>
      <w:r w:rsidRPr="00AA1AB6">
        <w:rPr>
          <w:i/>
        </w:rPr>
        <w:t>The</w:t>
      </w:r>
      <w:proofErr w:type="gramEnd"/>
      <w:r w:rsidRPr="00AA1AB6">
        <w:rPr>
          <w:i/>
        </w:rPr>
        <w:t xml:space="preserve"> Pudding</w:t>
      </w:r>
    </w:p>
    <w:p w:rsidR="00AA1AB6" w:rsidRDefault="00AA1AB6" w:rsidP="00C1336E">
      <w:pPr>
        <w:autoSpaceDE w:val="0"/>
        <w:autoSpaceDN w:val="0"/>
        <w:adjustRightInd w:val="0"/>
        <w:spacing w:after="0" w:line="240" w:lineRule="auto"/>
        <w:ind w:left="900"/>
      </w:pPr>
      <w:r>
        <w:t xml:space="preserve">I have to admit that I have no idea why a proof would be in a pudding, so let’s just say that the proof should be in the map. We appreciate the higher scale map that was sent to consulting parties on August 12. While still difficult to work with due to the lack of background reference points it is better than the small maps in the Class I pdf document. </w:t>
      </w:r>
    </w:p>
    <w:p w:rsidR="00AA1AB6" w:rsidRDefault="00AA1AB6" w:rsidP="00C1336E">
      <w:pPr>
        <w:autoSpaceDE w:val="0"/>
        <w:autoSpaceDN w:val="0"/>
        <w:adjustRightInd w:val="0"/>
        <w:spacing w:after="0" w:line="240" w:lineRule="auto"/>
        <w:ind w:left="900"/>
      </w:pPr>
    </w:p>
    <w:p w:rsidR="0044343D" w:rsidRDefault="00AA1AB6" w:rsidP="00C1336E">
      <w:pPr>
        <w:autoSpaceDE w:val="0"/>
        <w:autoSpaceDN w:val="0"/>
        <w:adjustRightInd w:val="0"/>
        <w:spacing w:after="0" w:line="240" w:lineRule="auto"/>
        <w:ind w:left="900"/>
      </w:pPr>
      <w:r>
        <w:t xml:space="preserve">Known hotspots such as Comb Ridge, Butler Wash, and the San Juan River corridor stand out as </w:t>
      </w:r>
      <w:r w:rsidR="00BA4095">
        <w:t>high probability zones</w:t>
      </w:r>
      <w:r>
        <w:t xml:space="preserve">. Areas northeast and northwest of Bluff are significant. All major canyons to the west of Comb Ridge also stand out. </w:t>
      </w:r>
      <w:r w:rsidR="0044343D">
        <w:t xml:space="preserve">Grand Gulch appears to be appropriately identified, but Cedar Mesa itself may lack appropriate probability. </w:t>
      </w:r>
    </w:p>
    <w:p w:rsidR="0044343D" w:rsidRDefault="0044343D" w:rsidP="00C1336E">
      <w:pPr>
        <w:autoSpaceDE w:val="0"/>
        <w:autoSpaceDN w:val="0"/>
        <w:adjustRightInd w:val="0"/>
        <w:spacing w:after="0" w:line="240" w:lineRule="auto"/>
        <w:ind w:left="900"/>
      </w:pPr>
    </w:p>
    <w:p w:rsidR="00AA1AB6" w:rsidRDefault="00AA1AB6" w:rsidP="00C1336E">
      <w:pPr>
        <w:autoSpaceDE w:val="0"/>
        <w:autoSpaceDN w:val="0"/>
        <w:adjustRightInd w:val="0"/>
        <w:spacing w:after="0" w:line="240" w:lineRule="auto"/>
        <w:ind w:left="900"/>
      </w:pPr>
      <w:r>
        <w:t xml:space="preserve">The eastern part of the field office is more difficult for me to interpret. It is hard to exactly identify areas such as </w:t>
      </w:r>
      <w:proofErr w:type="spellStart"/>
      <w:r>
        <w:t>Hovenweep</w:t>
      </w:r>
      <w:proofErr w:type="spellEnd"/>
      <w:r>
        <w:t xml:space="preserve">, </w:t>
      </w:r>
      <w:r w:rsidR="00D17DDE">
        <w:t>Montezuma Canyon, and Alkali Ridge but my interpretation of the map is that the model is showing these areas as low to moderate probability areas with occasional flecks of high probability. If my interpretation is accurate this is an error in the model.</w:t>
      </w:r>
    </w:p>
    <w:p w:rsidR="0044343D" w:rsidRDefault="0044343D" w:rsidP="00C1336E">
      <w:pPr>
        <w:autoSpaceDE w:val="0"/>
        <w:autoSpaceDN w:val="0"/>
        <w:adjustRightInd w:val="0"/>
        <w:spacing w:after="0" w:line="240" w:lineRule="auto"/>
        <w:ind w:left="900"/>
      </w:pPr>
    </w:p>
    <w:p w:rsidR="00AA1AB6" w:rsidRDefault="0044343D" w:rsidP="00C1336E">
      <w:pPr>
        <w:autoSpaceDE w:val="0"/>
        <w:autoSpaceDN w:val="0"/>
        <w:adjustRightInd w:val="0"/>
        <w:spacing w:after="0" w:line="240" w:lineRule="auto"/>
        <w:ind w:left="900"/>
      </w:pPr>
      <w:r>
        <w:t xml:space="preserve">It is suggested that the model be </w:t>
      </w:r>
      <w:r w:rsidR="00C1365C">
        <w:t>tested for “ground truth.”</w:t>
      </w:r>
      <w:r w:rsidR="00C1365C">
        <w:rPr>
          <w:rStyle w:val="FootnoteReference"/>
        </w:rPr>
        <w:footnoteReference w:id="10"/>
      </w:r>
      <w:r w:rsidR="00C1365C">
        <w:t xml:space="preserve"> While the Class I documentation suggests class II surveys, which URARA supports, we also recommend a simpler and cheaper methodology. We hope that BLM archeologists are combining known site data points with the predictive model map to determine where the model appears to be getting things right and where it is wrong, documenting both successes and failures, and then working to improve the algorithms and variables underlying the process.</w:t>
      </w:r>
    </w:p>
    <w:p w:rsidR="00C1336E" w:rsidRDefault="00C1336E" w:rsidP="00C1336E">
      <w:pPr>
        <w:autoSpaceDE w:val="0"/>
        <w:autoSpaceDN w:val="0"/>
        <w:adjustRightInd w:val="0"/>
        <w:spacing w:after="0" w:line="240" w:lineRule="auto"/>
        <w:ind w:left="900"/>
      </w:pPr>
    </w:p>
    <w:p w:rsidR="004F6DCC" w:rsidRDefault="004F6DCC" w:rsidP="008314A2">
      <w:pPr>
        <w:spacing w:after="0"/>
        <w:ind w:left="900"/>
        <w:rPr>
          <w:i/>
        </w:rPr>
      </w:pPr>
      <w:r>
        <w:rPr>
          <w:i/>
        </w:rPr>
        <w:t>Consulting Party Statistical Expertise</w:t>
      </w:r>
    </w:p>
    <w:p w:rsidR="004F6DCC" w:rsidRDefault="004F6DCC" w:rsidP="008314A2">
      <w:pPr>
        <w:spacing w:after="0"/>
        <w:ind w:left="900"/>
      </w:pPr>
      <w:r>
        <w:t xml:space="preserve">Statistical predictive modeling is well outside the skill set of the </w:t>
      </w:r>
      <w:r w:rsidR="00B23EAE">
        <w:t>URARA</w:t>
      </w:r>
      <w:r>
        <w:t xml:space="preserve">. While we can comment </w:t>
      </w:r>
      <w:r w:rsidR="00B23EAE">
        <w:t xml:space="preserve">on </w:t>
      </w:r>
      <w:r>
        <w:t>macro issues apparent in the model we lack the expertise to comment on the quality of the model development, the mathematics, statistics, and computer modeling underlying its conclusions. We expect that most other consulting parties are in the same situation. Given the importance that the model will have in informing management decisions we believe it is imperative that the predictive model be reviewed by experts in the field who can provide a level of confidence as to the accuracy and use of this predictive model.</w:t>
      </w:r>
    </w:p>
    <w:p w:rsidR="004F6DCC" w:rsidRDefault="004F6DCC" w:rsidP="008314A2">
      <w:pPr>
        <w:spacing w:after="0"/>
        <w:ind w:left="900"/>
      </w:pPr>
    </w:p>
    <w:p w:rsidR="008314A2" w:rsidRPr="008314A2" w:rsidRDefault="008314A2" w:rsidP="008314A2">
      <w:pPr>
        <w:spacing w:after="0"/>
        <w:ind w:left="900"/>
        <w:rPr>
          <w:i/>
        </w:rPr>
      </w:pPr>
      <w:r w:rsidRPr="008314A2">
        <w:rPr>
          <w:i/>
        </w:rPr>
        <w:t>Data Quality Conclusions</w:t>
      </w:r>
    </w:p>
    <w:p w:rsidR="00E66E08" w:rsidRDefault="00E5777B" w:rsidP="00584517">
      <w:pPr>
        <w:ind w:left="900"/>
      </w:pPr>
      <w:r>
        <w:t xml:space="preserve">Due to these concerns about the </w:t>
      </w:r>
      <w:r w:rsidR="00116077">
        <w:t xml:space="preserve">data </w:t>
      </w:r>
      <w:r>
        <w:t>quality of the</w:t>
      </w:r>
      <w:r w:rsidR="007A3AAB">
        <w:t xml:space="preserve"> </w:t>
      </w:r>
      <w:r w:rsidR="00B201AE">
        <w:t>model</w:t>
      </w:r>
      <w:r w:rsidR="007A3AAB">
        <w:t xml:space="preserve"> </w:t>
      </w:r>
      <w:r>
        <w:t>we believe it is imperative to</w:t>
      </w:r>
      <w:r w:rsidR="00E66E08">
        <w:t>:</w:t>
      </w:r>
    </w:p>
    <w:p w:rsidR="00E66E08" w:rsidRDefault="00E66E08" w:rsidP="00E66E08">
      <w:pPr>
        <w:pStyle w:val="ListParagraph"/>
        <w:numPr>
          <w:ilvl w:val="0"/>
          <w:numId w:val="7"/>
        </w:numPr>
      </w:pPr>
      <w:r>
        <w:t>T</w:t>
      </w:r>
      <w:r w:rsidR="00E5777B">
        <w:t>est the model against real world data</w:t>
      </w:r>
      <w:r w:rsidR="007A3AAB">
        <w:t xml:space="preserve"> through </w:t>
      </w:r>
      <w:r w:rsidR="00BA4095">
        <w:t xml:space="preserve">comparison to site data points and </w:t>
      </w:r>
      <w:r w:rsidR="007A3AAB">
        <w:t>extensive</w:t>
      </w:r>
      <w:r w:rsidR="00643DA1">
        <w:t xml:space="preserve"> </w:t>
      </w:r>
      <w:r w:rsidR="007A3AAB">
        <w:t>c</w:t>
      </w:r>
      <w:r w:rsidR="00643DA1">
        <w:t xml:space="preserve">lass II </w:t>
      </w:r>
      <w:r w:rsidR="007A3AAB">
        <w:t>random s</w:t>
      </w:r>
      <w:r w:rsidR="00643DA1">
        <w:t xml:space="preserve">ampling throughout the </w:t>
      </w:r>
      <w:r w:rsidR="003D0917">
        <w:t>M</w:t>
      </w:r>
      <w:r w:rsidR="007A3AAB">
        <w:t>FO</w:t>
      </w:r>
      <w:r>
        <w:t xml:space="preserve"> to determine if there is a data bias based on Section 106 sources</w:t>
      </w:r>
      <w:r w:rsidR="00643DA1">
        <w:t xml:space="preserve">.  </w:t>
      </w:r>
    </w:p>
    <w:p w:rsidR="00E5777B" w:rsidRDefault="00E66E08" w:rsidP="00E66E08">
      <w:pPr>
        <w:pStyle w:val="ListParagraph"/>
        <w:numPr>
          <w:ilvl w:val="0"/>
          <w:numId w:val="7"/>
        </w:numPr>
      </w:pPr>
      <w:r>
        <w:t xml:space="preserve">Provide consulting parties the class II random sampling results for analysis and approval </w:t>
      </w:r>
      <w:r w:rsidR="00093EB0">
        <w:t xml:space="preserve">prior to </w:t>
      </w:r>
      <w:r w:rsidR="0072438D">
        <w:t xml:space="preserve">use of </w:t>
      </w:r>
      <w:r w:rsidR="00093EB0">
        <w:t>the model for planning decisions.</w:t>
      </w:r>
    </w:p>
    <w:p w:rsidR="00D42D90" w:rsidRDefault="00B23EAE" w:rsidP="00E66E08">
      <w:pPr>
        <w:pStyle w:val="ListParagraph"/>
        <w:numPr>
          <w:ilvl w:val="0"/>
          <w:numId w:val="7"/>
        </w:numPr>
      </w:pPr>
      <w:r>
        <w:t>Assess</w:t>
      </w:r>
      <w:r w:rsidR="00D42D90">
        <w:t xml:space="preserve"> the </w:t>
      </w:r>
      <w:r>
        <w:t xml:space="preserve">predictive </w:t>
      </w:r>
      <w:r w:rsidR="00D42D90">
        <w:t>model through a peer review process.</w:t>
      </w:r>
    </w:p>
    <w:p w:rsidR="00381F0D" w:rsidRDefault="00381F0D" w:rsidP="00E66E08">
      <w:pPr>
        <w:pStyle w:val="ListParagraph"/>
        <w:numPr>
          <w:ilvl w:val="0"/>
          <w:numId w:val="7"/>
        </w:numPr>
      </w:pPr>
      <w:r>
        <w:t>The data does not evaluate the effectiveness of the model within the Monticello field office.</w:t>
      </w:r>
    </w:p>
    <w:p w:rsidR="00F54221" w:rsidRPr="00CC1AC2" w:rsidRDefault="00F54221" w:rsidP="00116077">
      <w:pPr>
        <w:keepNext/>
        <w:spacing w:after="0"/>
        <w:ind w:left="907"/>
        <w:rPr>
          <w:b/>
        </w:rPr>
      </w:pPr>
      <w:r w:rsidRPr="00CC1AC2">
        <w:rPr>
          <w:b/>
        </w:rPr>
        <w:t>Use of the Predictive Model</w:t>
      </w:r>
    </w:p>
    <w:p w:rsidR="006F6845" w:rsidRDefault="00CC1AC2" w:rsidP="00557DBD">
      <w:pPr>
        <w:autoSpaceDE w:val="0"/>
        <w:autoSpaceDN w:val="0"/>
        <w:adjustRightInd w:val="0"/>
        <w:spacing w:after="0" w:line="240" w:lineRule="auto"/>
        <w:ind w:left="900"/>
        <w:rPr>
          <w:rFonts w:cs="Times New Roman"/>
        </w:rPr>
      </w:pPr>
      <w:r w:rsidRPr="00C71A61">
        <w:t xml:space="preserve">We are concerned about how the </w:t>
      </w:r>
      <w:r w:rsidR="0028044E" w:rsidRPr="00C71A61">
        <w:t xml:space="preserve">BLM will use this </w:t>
      </w:r>
      <w:r w:rsidRPr="00C71A61">
        <w:t>predictive model for planning decisions with</w:t>
      </w:r>
      <w:r w:rsidR="00C44CA1" w:rsidRPr="00C71A61">
        <w:t>in</w:t>
      </w:r>
      <w:r w:rsidR="00C1336E" w:rsidRPr="00C71A61">
        <w:t xml:space="preserve"> the M</w:t>
      </w:r>
      <w:r w:rsidR="0028044E" w:rsidRPr="00C71A61">
        <w:t xml:space="preserve">FO. </w:t>
      </w:r>
      <w:r w:rsidR="00557DBD" w:rsidRPr="00C71A61">
        <w:t xml:space="preserve">We believe a predictive model should be used for </w:t>
      </w:r>
      <w:r w:rsidR="00643210" w:rsidRPr="00C71A61">
        <w:t xml:space="preserve">guidance when making </w:t>
      </w:r>
      <w:r w:rsidR="00557DBD" w:rsidRPr="00C71A61">
        <w:t>macro level planning decisions. For example the Class I says: “</w:t>
      </w:r>
      <w:r w:rsidR="00557DBD" w:rsidRPr="00C71A61">
        <w:rPr>
          <w:rFonts w:cs="Times New Roman"/>
        </w:rPr>
        <w:t>the BLM or project proponents could use the planning model to assist during the alternatives selection or siting phase of an undertaking, and areas modeled to have a high probability for significant cultural resources could be avoided during project design in order to minimize both impacts on cultural resources and the expense of mitigating those impacts.”</w:t>
      </w:r>
      <w:r w:rsidR="00557DBD" w:rsidRPr="00C71A61">
        <w:rPr>
          <w:rStyle w:val="FootnoteReference"/>
          <w:rFonts w:cs="Times New Roman"/>
        </w:rPr>
        <w:footnoteReference w:id="11"/>
      </w:r>
      <w:r w:rsidR="00BC1F7D" w:rsidRPr="00C71A61">
        <w:rPr>
          <w:rFonts w:cs="Times New Roman"/>
        </w:rPr>
        <w:t xml:space="preserve"> It makes sense to us to use the Predictive Model to make preliminary decisions about the best location for a new road or leasing allotment. But the model should never take the place of on-the-ground surveys which prove that the model is predicting site probability accurately and that cultural resources are being identified prior to making a final decision.</w:t>
      </w:r>
    </w:p>
    <w:p w:rsidR="00BC1F7D" w:rsidRPr="00557DBD" w:rsidRDefault="00BC1F7D" w:rsidP="00557DBD">
      <w:pPr>
        <w:autoSpaceDE w:val="0"/>
        <w:autoSpaceDN w:val="0"/>
        <w:adjustRightInd w:val="0"/>
        <w:spacing w:after="0" w:line="240" w:lineRule="auto"/>
        <w:ind w:left="900"/>
      </w:pPr>
    </w:p>
    <w:p w:rsidR="00525432" w:rsidRPr="00903269" w:rsidRDefault="00903269" w:rsidP="00903269">
      <w:pPr>
        <w:spacing w:after="0"/>
        <w:ind w:left="900"/>
        <w:rPr>
          <w:i/>
        </w:rPr>
      </w:pPr>
      <w:r w:rsidRPr="00903269">
        <w:rPr>
          <w:i/>
        </w:rPr>
        <w:lastRenderedPageBreak/>
        <w:t>Sensitivity</w:t>
      </w:r>
    </w:p>
    <w:p w:rsidR="00DC0838" w:rsidRPr="00B23EAE" w:rsidRDefault="00903269" w:rsidP="00DC0838">
      <w:pPr>
        <w:autoSpaceDE w:val="0"/>
        <w:autoSpaceDN w:val="0"/>
        <w:adjustRightInd w:val="0"/>
        <w:spacing w:after="0" w:line="240" w:lineRule="auto"/>
        <w:ind w:left="900"/>
        <w:rPr>
          <w:rFonts w:cs="Times New Roman"/>
        </w:rPr>
      </w:pPr>
      <w:r w:rsidRPr="00DC0838">
        <w:t xml:space="preserve">We are very concerned about how </w:t>
      </w:r>
      <w:r w:rsidR="00FA545A" w:rsidRPr="00DC0838">
        <w:t>sensitivity was defined in the model. Because sensitivity was defined by considering only the eligible and n</w:t>
      </w:r>
      <w:r w:rsidR="00DC0838" w:rsidRPr="00DC0838">
        <w:t xml:space="preserve">ot eligible sites it excludes </w:t>
      </w:r>
      <w:r w:rsidR="000E24E2">
        <w:t>3,999</w:t>
      </w:r>
      <w:r w:rsidR="00657176">
        <w:t xml:space="preserve"> sites or 22.7</w:t>
      </w:r>
      <w:r w:rsidR="00FA545A" w:rsidRPr="00DC0838">
        <w:t>%</w:t>
      </w:r>
      <w:r w:rsidR="00FA545A" w:rsidRPr="00DC0838">
        <w:rPr>
          <w:rStyle w:val="FootnoteReference"/>
        </w:rPr>
        <w:footnoteReference w:id="12"/>
      </w:r>
      <w:r w:rsidR="00FA545A" w:rsidRPr="00DC0838">
        <w:t xml:space="preserve"> of the </w:t>
      </w:r>
      <w:r w:rsidR="00DC0838" w:rsidRPr="008376CE">
        <w:t xml:space="preserve">population </w:t>
      </w:r>
      <w:r w:rsidR="00FA545A" w:rsidRPr="008376CE">
        <w:t xml:space="preserve">because they were undetermined or unknown. </w:t>
      </w:r>
      <w:r w:rsidR="007B71FA" w:rsidRPr="008376CE">
        <w:t xml:space="preserve"> </w:t>
      </w:r>
      <w:r w:rsidR="00FA545A" w:rsidRPr="008376CE">
        <w:t xml:space="preserve">We are also concerned that some of the not eligible determinations may be based on antiquated views of archeology. For example, </w:t>
      </w:r>
      <w:r w:rsidR="00DC0838" w:rsidRPr="008376CE">
        <w:t>114</w:t>
      </w:r>
      <w:r w:rsidR="00FA545A" w:rsidRPr="008376CE">
        <w:t xml:space="preserve"> of the </w:t>
      </w:r>
      <w:r w:rsidR="00DC0838" w:rsidRPr="008376CE">
        <w:t>394</w:t>
      </w:r>
      <w:r w:rsidR="00FA545A" w:rsidRPr="008376CE">
        <w:t xml:space="preserve"> </w:t>
      </w:r>
      <w:r w:rsidR="00DC0838" w:rsidRPr="008376CE">
        <w:t xml:space="preserve">prehistoric </w:t>
      </w:r>
      <w:r w:rsidR="00FA545A" w:rsidRPr="008376CE">
        <w:t xml:space="preserve">rock art sites </w:t>
      </w:r>
      <w:r w:rsidR="00DC0838" w:rsidRPr="008376CE">
        <w:t xml:space="preserve">in the Benches and Canyons </w:t>
      </w:r>
      <w:r w:rsidR="00FA545A" w:rsidRPr="008376CE">
        <w:t>are deemed not eligible</w:t>
      </w:r>
      <w:r w:rsidR="00DD1BBF" w:rsidRPr="008376CE">
        <w:rPr>
          <w:rStyle w:val="FootnoteReference"/>
        </w:rPr>
        <w:footnoteReference w:id="13"/>
      </w:r>
      <w:r w:rsidR="00FA545A" w:rsidRPr="008376CE">
        <w:t xml:space="preserve"> which would be an unusually high number under current standards. </w:t>
      </w:r>
      <w:r w:rsidR="00DC0838" w:rsidRPr="008376CE">
        <w:t>The Class I states: “</w:t>
      </w:r>
      <w:r w:rsidR="00DC0838" w:rsidRPr="008376CE">
        <w:rPr>
          <w:rFonts w:cs="Times New Roman"/>
        </w:rPr>
        <w:t>However, it is suggested that all site types have likely been influenced by similar biases and that the “error rate” in NRHP interpretations should be fairly consistent across site types.”</w:t>
      </w:r>
      <w:r w:rsidR="00DC0838" w:rsidRPr="008376CE">
        <w:rPr>
          <w:rStyle w:val="FootnoteReference"/>
          <w:rFonts w:cs="Times New Roman"/>
        </w:rPr>
        <w:footnoteReference w:id="14"/>
      </w:r>
      <w:r w:rsidR="00DC0838" w:rsidRPr="008376CE">
        <w:rPr>
          <w:rFonts w:cs="Times New Roman"/>
        </w:rPr>
        <w:t xml:space="preserve"> </w:t>
      </w:r>
      <w:r w:rsidR="00DC0838" w:rsidRPr="00B23EAE">
        <w:rPr>
          <w:rFonts w:cs="Times New Roman"/>
        </w:rPr>
        <w:t xml:space="preserve">However, there is no data to support this “suggestion” and the high variability in the undetermined and unknown rates would tend to imply that this “suggestion” is spurious. </w:t>
      </w:r>
    </w:p>
    <w:p w:rsidR="00DC0838" w:rsidRDefault="00DC0838" w:rsidP="00DC0838">
      <w:pPr>
        <w:autoSpaceDE w:val="0"/>
        <w:autoSpaceDN w:val="0"/>
        <w:adjustRightInd w:val="0"/>
        <w:spacing w:after="0" w:line="240" w:lineRule="auto"/>
        <w:ind w:left="900"/>
        <w:rPr>
          <w:rFonts w:ascii="Times New Roman" w:hAnsi="Times New Roman" w:cs="Times New Roman"/>
        </w:rPr>
      </w:pPr>
    </w:p>
    <w:p w:rsidR="00B7784C" w:rsidRDefault="00DD1BBF" w:rsidP="00DC0838">
      <w:pPr>
        <w:ind w:left="900"/>
      </w:pPr>
      <w:r>
        <w:t>To accurately predict sensitivity it is necessary to make a national register eligibility determination for the undetermined and unknown sites and test the determination o</w:t>
      </w:r>
      <w:r w:rsidR="00E66E08">
        <w:t>f</w:t>
      </w:r>
      <w:r>
        <w:t xml:space="preserve"> not eligible sites focusing on sites with older documentat</w:t>
      </w:r>
      <w:r w:rsidR="0009290F">
        <w:t xml:space="preserve">ion. </w:t>
      </w:r>
    </w:p>
    <w:p w:rsidR="00B7784C" w:rsidRDefault="00B7784C" w:rsidP="00B7784C">
      <w:pPr>
        <w:ind w:left="900"/>
      </w:pPr>
      <w:r>
        <w:t xml:space="preserve">URARA and other groups with </w:t>
      </w:r>
      <w:r w:rsidR="00E66E08">
        <w:t>s</w:t>
      </w:r>
      <w:r>
        <w:t xml:space="preserve">ite information </w:t>
      </w:r>
      <w:r w:rsidR="008376CE">
        <w:t>have</w:t>
      </w:r>
      <w:r>
        <w:t xml:space="preserve"> provide</w:t>
      </w:r>
      <w:r w:rsidR="008376CE">
        <w:t>d</w:t>
      </w:r>
      <w:r>
        <w:t xml:space="preserve"> the BLM with additional site data currently not in the BLM records. This site data may not meet SHPO standards for IMACS level documentation and are unlikely to have a national register eligibility determination. We recommend each of these sites be considered eligible when used in the predictive model until a qualified archeologist can make a determination.</w:t>
      </w:r>
    </w:p>
    <w:p w:rsidR="00B7784C" w:rsidRPr="00B7784C" w:rsidRDefault="00B7784C" w:rsidP="00B7784C">
      <w:pPr>
        <w:spacing w:after="0"/>
        <w:ind w:left="900"/>
        <w:rPr>
          <w:i/>
        </w:rPr>
      </w:pPr>
      <w:r w:rsidRPr="00B7784C">
        <w:rPr>
          <w:i/>
        </w:rPr>
        <w:t>Predictive Model Updates</w:t>
      </w:r>
    </w:p>
    <w:p w:rsidR="008376CE" w:rsidRDefault="008376CE" w:rsidP="008376CE">
      <w:pPr>
        <w:autoSpaceDE w:val="0"/>
        <w:autoSpaceDN w:val="0"/>
        <w:adjustRightInd w:val="0"/>
        <w:spacing w:after="0" w:line="240" w:lineRule="auto"/>
        <w:ind w:left="900"/>
      </w:pPr>
      <w:r>
        <w:t>The Class I</w:t>
      </w:r>
      <w:r w:rsidR="005813E8">
        <w:t xml:space="preserve"> recommends</w:t>
      </w:r>
      <w:r w:rsidR="00824C9D">
        <w:t xml:space="preserve"> that the predictive model be updated </w:t>
      </w:r>
      <w:r>
        <w:t>as new data becomes available:</w:t>
      </w:r>
    </w:p>
    <w:p w:rsidR="008376CE" w:rsidRDefault="008376CE" w:rsidP="008376CE">
      <w:pPr>
        <w:autoSpaceDE w:val="0"/>
        <w:autoSpaceDN w:val="0"/>
        <w:adjustRightInd w:val="0"/>
        <w:spacing w:after="0" w:line="240" w:lineRule="auto"/>
        <w:ind w:left="900"/>
        <w:rPr>
          <w:rFonts w:ascii="Times New Roman" w:hAnsi="Times New Roman" w:cs="Times New Roman"/>
        </w:rPr>
      </w:pPr>
    </w:p>
    <w:p w:rsidR="00630B06" w:rsidRDefault="008376CE" w:rsidP="008376CE">
      <w:pPr>
        <w:autoSpaceDE w:val="0"/>
        <w:autoSpaceDN w:val="0"/>
        <w:adjustRightInd w:val="0"/>
        <w:spacing w:after="0" w:line="240" w:lineRule="auto"/>
        <w:ind w:left="1440" w:right="720"/>
      </w:pPr>
      <w:r w:rsidRPr="008376CE">
        <w:rPr>
          <w:rFonts w:cs="Times New Roman"/>
          <w:sz w:val="20"/>
          <w:szCs w:val="20"/>
        </w:rPr>
        <w:t>Perhaps more relevant, however, is an important characteristic of scientific models in general—scientific</w:t>
      </w:r>
      <w:r>
        <w:rPr>
          <w:rFonts w:cs="Times New Roman"/>
          <w:sz w:val="20"/>
          <w:szCs w:val="20"/>
        </w:rPr>
        <w:t xml:space="preserve"> </w:t>
      </w:r>
      <w:r w:rsidRPr="008376CE">
        <w:rPr>
          <w:rFonts w:cs="Times New Roman"/>
          <w:sz w:val="20"/>
          <w:szCs w:val="20"/>
        </w:rPr>
        <w:t>models are not static. Scientific models are useful precisely because empirically testable expectations can</w:t>
      </w:r>
      <w:r>
        <w:rPr>
          <w:rFonts w:cs="Times New Roman"/>
          <w:sz w:val="20"/>
          <w:szCs w:val="20"/>
        </w:rPr>
        <w:t xml:space="preserve"> </w:t>
      </w:r>
      <w:r w:rsidRPr="008376CE">
        <w:rPr>
          <w:rFonts w:cs="Times New Roman"/>
          <w:sz w:val="20"/>
          <w:szCs w:val="20"/>
        </w:rPr>
        <w:t>be drawn from them. When expectations of a model are subject to empirical evaluation, the results of that</w:t>
      </w:r>
      <w:r>
        <w:rPr>
          <w:rFonts w:cs="Times New Roman"/>
          <w:sz w:val="20"/>
          <w:szCs w:val="20"/>
        </w:rPr>
        <w:t xml:space="preserve"> </w:t>
      </w:r>
      <w:r w:rsidRPr="008376CE">
        <w:rPr>
          <w:rFonts w:cs="Times New Roman"/>
          <w:sz w:val="20"/>
          <w:szCs w:val="20"/>
        </w:rPr>
        <w:t>evaluation can, and very much should, be examined in light of the model. When expectations are met, the</w:t>
      </w:r>
      <w:r>
        <w:rPr>
          <w:rFonts w:cs="Times New Roman"/>
          <w:sz w:val="20"/>
          <w:szCs w:val="20"/>
        </w:rPr>
        <w:t xml:space="preserve"> </w:t>
      </w:r>
      <w:r w:rsidRPr="008376CE">
        <w:rPr>
          <w:rFonts w:cs="Times New Roman"/>
          <w:sz w:val="20"/>
          <w:szCs w:val="20"/>
        </w:rPr>
        <w:t>results further validate the model. When expectations are not met, the model should be revised as</w:t>
      </w:r>
      <w:r>
        <w:rPr>
          <w:rFonts w:cs="Times New Roman"/>
          <w:sz w:val="20"/>
          <w:szCs w:val="20"/>
        </w:rPr>
        <w:t xml:space="preserve"> </w:t>
      </w:r>
      <w:r w:rsidRPr="008376CE">
        <w:rPr>
          <w:rFonts w:cs="Times New Roman"/>
          <w:sz w:val="20"/>
          <w:szCs w:val="20"/>
        </w:rPr>
        <w:t>appropriate. This iterative process is central to the scientific method and the archaeological site location</w:t>
      </w:r>
      <w:r>
        <w:rPr>
          <w:rFonts w:cs="Times New Roman"/>
          <w:sz w:val="20"/>
          <w:szCs w:val="20"/>
        </w:rPr>
        <w:t xml:space="preserve"> </w:t>
      </w:r>
      <w:r w:rsidRPr="008376CE">
        <w:rPr>
          <w:rFonts w:cs="Times New Roman"/>
          <w:sz w:val="20"/>
          <w:szCs w:val="20"/>
        </w:rPr>
        <w:t xml:space="preserve">model developed and presented here is expected to </w:t>
      </w:r>
      <w:r w:rsidR="00630B06">
        <w:rPr>
          <w:rFonts w:cs="Times New Roman"/>
          <w:sz w:val="20"/>
          <w:szCs w:val="20"/>
        </w:rPr>
        <w:t>u</w:t>
      </w:r>
      <w:r w:rsidRPr="008376CE">
        <w:rPr>
          <w:rFonts w:cs="Times New Roman"/>
          <w:sz w:val="20"/>
          <w:szCs w:val="20"/>
        </w:rPr>
        <w:t>ndergo such evaluation and modification.</w:t>
      </w:r>
      <w:r w:rsidR="00824C9D" w:rsidRPr="008376CE">
        <w:rPr>
          <w:rStyle w:val="FootnoteReference"/>
          <w:sz w:val="20"/>
          <w:szCs w:val="20"/>
        </w:rPr>
        <w:footnoteReference w:id="15"/>
      </w:r>
      <w:r w:rsidR="00824C9D">
        <w:t xml:space="preserve"> </w:t>
      </w:r>
    </w:p>
    <w:p w:rsidR="00630B06" w:rsidRDefault="00630B06" w:rsidP="008376CE">
      <w:pPr>
        <w:autoSpaceDE w:val="0"/>
        <w:autoSpaceDN w:val="0"/>
        <w:adjustRightInd w:val="0"/>
        <w:spacing w:after="0" w:line="240" w:lineRule="auto"/>
        <w:ind w:left="1440" w:right="720"/>
      </w:pPr>
    </w:p>
    <w:p w:rsidR="00824C9D" w:rsidRDefault="00824C9D" w:rsidP="00630B06">
      <w:pPr>
        <w:autoSpaceDE w:val="0"/>
        <w:autoSpaceDN w:val="0"/>
        <w:adjustRightInd w:val="0"/>
        <w:spacing w:after="0" w:line="240" w:lineRule="auto"/>
        <w:ind w:left="900"/>
      </w:pPr>
      <w:r>
        <w:t xml:space="preserve">It is unclear to us how this will be done. In our discussions with BLM archeologists they have indicated they don’t have the skill set to update the predictive model. Will the BLM maintain a contract with a consulting agency to improve the model over time? If the model is to be used to make planning decisions into the future we believe the model must be updated </w:t>
      </w:r>
      <w:r w:rsidR="00FF531D">
        <w:t xml:space="preserve">and tested on an annual basis </w:t>
      </w:r>
      <w:r>
        <w:t>to be as useful as possible.</w:t>
      </w:r>
    </w:p>
    <w:p w:rsidR="004C5EC3" w:rsidRDefault="004C5EC3" w:rsidP="00630B06">
      <w:pPr>
        <w:autoSpaceDE w:val="0"/>
        <w:autoSpaceDN w:val="0"/>
        <w:adjustRightInd w:val="0"/>
        <w:spacing w:after="0" w:line="240" w:lineRule="auto"/>
        <w:ind w:left="900"/>
      </w:pPr>
    </w:p>
    <w:p w:rsidR="004C5EC3" w:rsidRPr="00F6396C" w:rsidRDefault="004C5EC3" w:rsidP="00BC1F7D">
      <w:pPr>
        <w:keepNext/>
        <w:autoSpaceDE w:val="0"/>
        <w:autoSpaceDN w:val="0"/>
        <w:adjustRightInd w:val="0"/>
        <w:spacing w:after="0" w:line="240" w:lineRule="auto"/>
        <w:ind w:left="907"/>
        <w:rPr>
          <w:i/>
        </w:rPr>
      </w:pPr>
      <w:r w:rsidRPr="00F6396C">
        <w:rPr>
          <w:i/>
        </w:rPr>
        <w:lastRenderedPageBreak/>
        <w:t xml:space="preserve">The Use of the Model </w:t>
      </w:r>
      <w:proofErr w:type="gramStart"/>
      <w:r w:rsidRPr="00F6396C">
        <w:rPr>
          <w:i/>
        </w:rPr>
        <w:t>As</w:t>
      </w:r>
      <w:proofErr w:type="gramEnd"/>
      <w:r w:rsidRPr="00F6396C">
        <w:rPr>
          <w:i/>
        </w:rPr>
        <w:t xml:space="preserve"> An Alternative to Surveys</w:t>
      </w:r>
    </w:p>
    <w:p w:rsidR="004C5EC3" w:rsidRDefault="004C5EC3" w:rsidP="00630B06">
      <w:pPr>
        <w:autoSpaceDE w:val="0"/>
        <w:autoSpaceDN w:val="0"/>
        <w:adjustRightInd w:val="0"/>
        <w:spacing w:after="0" w:line="240" w:lineRule="auto"/>
        <w:ind w:left="900"/>
      </w:pPr>
      <w:r>
        <w:t>We are concerned about the following comments:</w:t>
      </w:r>
    </w:p>
    <w:p w:rsidR="00F6396C" w:rsidRDefault="00F6396C" w:rsidP="00630B06">
      <w:pPr>
        <w:autoSpaceDE w:val="0"/>
        <w:autoSpaceDN w:val="0"/>
        <w:adjustRightInd w:val="0"/>
        <w:spacing w:after="0" w:line="240" w:lineRule="auto"/>
        <w:ind w:left="900"/>
      </w:pPr>
    </w:p>
    <w:p w:rsidR="004C5EC3" w:rsidRPr="004C5EC3" w:rsidRDefault="004C5EC3" w:rsidP="004C5EC3">
      <w:pPr>
        <w:autoSpaceDE w:val="0"/>
        <w:autoSpaceDN w:val="0"/>
        <w:adjustRightInd w:val="0"/>
        <w:spacing w:after="0" w:line="240" w:lineRule="auto"/>
        <w:ind w:left="1440" w:right="720"/>
        <w:rPr>
          <w:rFonts w:cs="Times New Roman"/>
          <w:sz w:val="20"/>
        </w:rPr>
      </w:pPr>
      <w:r w:rsidRPr="004C5EC3">
        <w:rPr>
          <w:rFonts w:cs="Times New Roman"/>
          <w:sz w:val="20"/>
        </w:rPr>
        <w:t>For planning-level actions that may not necessarily otherwise immediately undergo a</w:t>
      </w:r>
    </w:p>
    <w:p w:rsidR="004C5EC3" w:rsidRPr="004C5EC3" w:rsidRDefault="004C5EC3" w:rsidP="004C5EC3">
      <w:pPr>
        <w:autoSpaceDE w:val="0"/>
        <w:autoSpaceDN w:val="0"/>
        <w:adjustRightInd w:val="0"/>
        <w:spacing w:after="0" w:line="240" w:lineRule="auto"/>
        <w:ind w:left="1440" w:right="720"/>
        <w:rPr>
          <w:rFonts w:cs="Times New Roman"/>
          <w:sz w:val="20"/>
        </w:rPr>
      </w:pPr>
      <w:r w:rsidRPr="004C5EC3">
        <w:rPr>
          <w:rFonts w:cs="Times New Roman"/>
          <w:sz w:val="20"/>
        </w:rPr>
        <w:t>Class III inventory, the BLM could examine the planning model to identify places within the area of</w:t>
      </w:r>
      <w:r>
        <w:rPr>
          <w:rFonts w:cs="Times New Roman"/>
          <w:sz w:val="20"/>
        </w:rPr>
        <w:t xml:space="preserve"> </w:t>
      </w:r>
      <w:r w:rsidRPr="004C5EC3">
        <w:rPr>
          <w:rFonts w:cs="Times New Roman"/>
          <w:sz w:val="20"/>
        </w:rPr>
        <w:t>potential effects (APE) that are modeled to have a high probability for significant archaeological sites and</w:t>
      </w:r>
      <w:r>
        <w:rPr>
          <w:rFonts w:cs="Times New Roman"/>
          <w:sz w:val="20"/>
        </w:rPr>
        <w:t xml:space="preserve"> </w:t>
      </w:r>
      <w:r w:rsidRPr="004C5EC3">
        <w:rPr>
          <w:rFonts w:cs="Times New Roman"/>
          <w:sz w:val="20"/>
        </w:rPr>
        <w:t>then direct targeted, on-the-ground inventories at those areas to better understand the cultural resources</w:t>
      </w:r>
      <w:r>
        <w:rPr>
          <w:rFonts w:cs="Times New Roman"/>
          <w:sz w:val="20"/>
        </w:rPr>
        <w:t xml:space="preserve"> </w:t>
      </w:r>
      <w:r w:rsidRPr="004C5EC3">
        <w:rPr>
          <w:rFonts w:cs="Times New Roman"/>
          <w:sz w:val="20"/>
        </w:rPr>
        <w:t>within them. This would likely enable the majority of significant cultural resources within the APE to be</w:t>
      </w:r>
      <w:r>
        <w:rPr>
          <w:rFonts w:cs="Times New Roman"/>
          <w:sz w:val="20"/>
        </w:rPr>
        <w:t xml:space="preserve"> </w:t>
      </w:r>
      <w:r w:rsidRPr="004C5EC3">
        <w:rPr>
          <w:rFonts w:cs="Times New Roman"/>
          <w:sz w:val="20"/>
        </w:rPr>
        <w:t>identified at the planning stage, without incurring the expense of an intensive inventory of the entire APE</w:t>
      </w:r>
      <w:r>
        <w:rPr>
          <w:rFonts w:cs="Times New Roman"/>
          <w:sz w:val="20"/>
        </w:rPr>
        <w:t xml:space="preserve">. </w:t>
      </w:r>
      <w:r w:rsidRPr="004C5EC3">
        <w:rPr>
          <w:rFonts w:cs="Times New Roman"/>
          <w:sz w:val="20"/>
        </w:rPr>
        <w:t>For any Class III inventory, the BLM could also tailor survey methods to sensitivity levels in order to</w:t>
      </w:r>
      <w:r>
        <w:rPr>
          <w:rFonts w:cs="Times New Roman"/>
          <w:sz w:val="20"/>
        </w:rPr>
        <w:t xml:space="preserve"> </w:t>
      </w:r>
      <w:r w:rsidRPr="004C5EC3">
        <w:rPr>
          <w:rFonts w:cs="Times New Roman"/>
          <w:sz w:val="20"/>
        </w:rPr>
        <w:t>optimize survey efficiency relative to the need to make a good faith effort to identify significant cultural</w:t>
      </w:r>
      <w:r>
        <w:rPr>
          <w:rFonts w:cs="Times New Roman"/>
          <w:sz w:val="20"/>
        </w:rPr>
        <w:t xml:space="preserve"> </w:t>
      </w:r>
      <w:r w:rsidRPr="004C5EC3">
        <w:rPr>
          <w:rFonts w:cs="Times New Roman"/>
          <w:sz w:val="20"/>
        </w:rPr>
        <w:t>resources. For example, the BLM could require the use of more intensive methods in areas modeled to have</w:t>
      </w:r>
      <w:r>
        <w:rPr>
          <w:rFonts w:cs="Times New Roman"/>
          <w:sz w:val="20"/>
        </w:rPr>
        <w:t xml:space="preserve"> </w:t>
      </w:r>
      <w:r w:rsidRPr="004C5EC3">
        <w:rPr>
          <w:rFonts w:cs="Times New Roman"/>
          <w:sz w:val="20"/>
        </w:rPr>
        <w:t>high sensitivity and the use of less intensive methods in areas of low sensitivity.</w:t>
      </w:r>
      <w:r>
        <w:rPr>
          <w:rStyle w:val="FootnoteReference"/>
          <w:rFonts w:cs="Times New Roman"/>
          <w:sz w:val="20"/>
        </w:rPr>
        <w:footnoteReference w:id="16"/>
      </w:r>
    </w:p>
    <w:p w:rsidR="00F6396C" w:rsidRDefault="00F6396C" w:rsidP="00630B06">
      <w:pPr>
        <w:autoSpaceDE w:val="0"/>
        <w:autoSpaceDN w:val="0"/>
        <w:adjustRightInd w:val="0"/>
        <w:spacing w:after="0" w:line="240" w:lineRule="auto"/>
        <w:ind w:left="900"/>
      </w:pPr>
    </w:p>
    <w:p w:rsidR="00630B06" w:rsidRDefault="004C5EC3" w:rsidP="00630B06">
      <w:pPr>
        <w:autoSpaceDE w:val="0"/>
        <w:autoSpaceDN w:val="0"/>
        <w:adjustRightInd w:val="0"/>
        <w:spacing w:after="0" w:line="240" w:lineRule="auto"/>
        <w:ind w:left="900"/>
      </w:pPr>
      <w:r>
        <w:t>The model is only a model. It is based on imperfect data crunched by a computer that has never seen, let alone walked</w:t>
      </w:r>
      <w:r w:rsidR="00BC1F7D">
        <w:t xml:space="preserve"> on</w:t>
      </w:r>
      <w:r>
        <w:t>, Comb Ridge and cannot substitute for actual “boots on the ground.” The model is appropriate for macro level planning decisions but should never be used as a justification to eliminate required surveys.</w:t>
      </w:r>
    </w:p>
    <w:p w:rsidR="00557DBD" w:rsidRDefault="00557DBD" w:rsidP="00557DBD">
      <w:pPr>
        <w:tabs>
          <w:tab w:val="left" w:pos="2955"/>
        </w:tabs>
        <w:spacing w:after="0"/>
        <w:ind w:left="900"/>
      </w:pPr>
    </w:p>
    <w:p w:rsidR="00557DBD" w:rsidRPr="00C71A61" w:rsidRDefault="00557DBD" w:rsidP="00557DBD">
      <w:pPr>
        <w:tabs>
          <w:tab w:val="left" w:pos="2955"/>
        </w:tabs>
        <w:spacing w:after="0"/>
        <w:ind w:left="900"/>
        <w:rPr>
          <w:i/>
        </w:rPr>
      </w:pPr>
      <w:r w:rsidRPr="00C71A61">
        <w:rPr>
          <w:i/>
        </w:rPr>
        <w:t>Use of the Predictive Model Conclusions</w:t>
      </w:r>
    </w:p>
    <w:p w:rsidR="004C5EC3" w:rsidRPr="00C71A61" w:rsidRDefault="00557DBD" w:rsidP="00630B06">
      <w:pPr>
        <w:autoSpaceDE w:val="0"/>
        <w:autoSpaceDN w:val="0"/>
        <w:adjustRightInd w:val="0"/>
        <w:spacing w:after="0" w:line="240" w:lineRule="auto"/>
        <w:ind w:left="900"/>
      </w:pPr>
      <w:r w:rsidRPr="00C71A61">
        <w:t xml:space="preserve">We support the use of a predictive model in which </w:t>
      </w:r>
      <w:r w:rsidR="005E5749" w:rsidRPr="00C71A61">
        <w:t xml:space="preserve">the government, </w:t>
      </w:r>
      <w:r w:rsidRPr="00C71A61">
        <w:t>consulting parties</w:t>
      </w:r>
      <w:r w:rsidR="005E5749" w:rsidRPr="00C71A61">
        <w:t>,</w:t>
      </w:r>
      <w:r w:rsidRPr="00C71A61">
        <w:t xml:space="preserve"> and statistical peer groups concur has high predictive value for cultural resources. While URARA lacks statistical sophistication</w:t>
      </w:r>
      <w:r w:rsidR="00635938" w:rsidRPr="00C71A61">
        <w:t>,</w:t>
      </w:r>
      <w:r w:rsidRPr="00C71A61">
        <w:t xml:space="preserve"> we doubt this model meets </w:t>
      </w:r>
      <w:r w:rsidR="00635938" w:rsidRPr="00C71A61">
        <w:t>these</w:t>
      </w:r>
      <w:r w:rsidRPr="00C71A61">
        <w:t xml:space="preserve"> criteria. We would like to have seen the BLM establish specific minimum level predictive goals for the model to meet</w:t>
      </w:r>
      <w:r w:rsidR="005E5749" w:rsidRPr="00C71A61">
        <w:t xml:space="preserve"> at the outset of the project</w:t>
      </w:r>
      <w:r w:rsidRPr="00C71A61">
        <w:t xml:space="preserve">. Without such targets consulting parties are simply left with an </w:t>
      </w:r>
      <w:r w:rsidR="00635938" w:rsidRPr="00C71A61">
        <w:t>implicit</w:t>
      </w:r>
      <w:r w:rsidRPr="00C71A61">
        <w:t xml:space="preserve"> assertion that this model is good enough.</w:t>
      </w:r>
    </w:p>
    <w:p w:rsidR="00557DBD" w:rsidRDefault="00557DBD" w:rsidP="00630B06">
      <w:pPr>
        <w:autoSpaceDE w:val="0"/>
        <w:autoSpaceDN w:val="0"/>
        <w:adjustRightInd w:val="0"/>
        <w:spacing w:after="0" w:line="240" w:lineRule="auto"/>
        <w:ind w:left="900"/>
      </w:pPr>
    </w:p>
    <w:p w:rsidR="00701A06" w:rsidRDefault="00701A06" w:rsidP="0073308A">
      <w:pPr>
        <w:tabs>
          <w:tab w:val="left" w:pos="2955"/>
        </w:tabs>
        <w:spacing w:after="0"/>
        <w:ind w:left="900"/>
        <w:rPr>
          <w:b/>
        </w:rPr>
      </w:pPr>
      <w:r>
        <w:rPr>
          <w:b/>
        </w:rPr>
        <w:t>Improvements in the Predictive Model</w:t>
      </w:r>
    </w:p>
    <w:p w:rsidR="00701A06" w:rsidRDefault="00701A06" w:rsidP="0073308A">
      <w:pPr>
        <w:tabs>
          <w:tab w:val="left" w:pos="2955"/>
        </w:tabs>
        <w:spacing w:after="0"/>
        <w:ind w:left="900"/>
      </w:pPr>
      <w:r>
        <w:t xml:space="preserve">We appreciate that the MFO is working to improve the predictive model over previous generations used in the Richfield and Fillmore Field Offices. We </w:t>
      </w:r>
      <w:r w:rsidR="00630B06">
        <w:t>appreciate</w:t>
      </w:r>
      <w:r>
        <w:t xml:space="preserve"> the use of data from the </w:t>
      </w:r>
      <w:r w:rsidR="00F6396C">
        <w:t>Moab</w:t>
      </w:r>
      <w:r>
        <w:t xml:space="preserve"> field office. We believe that these efforts </w:t>
      </w:r>
      <w:r w:rsidR="00C1336E">
        <w:t>will</w:t>
      </w:r>
      <w:r>
        <w:t xml:space="preserve"> improve the model.</w:t>
      </w:r>
    </w:p>
    <w:p w:rsidR="00557DBD" w:rsidRDefault="00557DBD" w:rsidP="0073308A">
      <w:pPr>
        <w:tabs>
          <w:tab w:val="left" w:pos="2955"/>
        </w:tabs>
        <w:spacing w:after="0"/>
        <w:ind w:left="900"/>
        <w:rPr>
          <w:b/>
        </w:rPr>
      </w:pPr>
    </w:p>
    <w:p w:rsidR="0073308A" w:rsidRPr="0073308A" w:rsidRDefault="0044433C" w:rsidP="0073308A">
      <w:pPr>
        <w:tabs>
          <w:tab w:val="left" w:pos="2955"/>
        </w:tabs>
        <w:spacing w:after="0"/>
        <w:ind w:left="900"/>
        <w:rPr>
          <w:b/>
        </w:rPr>
      </w:pPr>
      <w:r>
        <w:rPr>
          <w:b/>
        </w:rPr>
        <w:t>Additional Comments</w:t>
      </w:r>
    </w:p>
    <w:p w:rsidR="000124C4" w:rsidRDefault="00C86C4F" w:rsidP="0073308A">
      <w:pPr>
        <w:pStyle w:val="ListParagraph"/>
        <w:numPr>
          <w:ilvl w:val="0"/>
          <w:numId w:val="5"/>
        </w:numPr>
        <w:tabs>
          <w:tab w:val="left" w:pos="2955"/>
        </w:tabs>
      </w:pPr>
      <w:r>
        <w:t>We are concerned that Chaco Roads within the MFO are not discussed</w:t>
      </w:r>
      <w:r w:rsidR="000124C4">
        <w:t xml:space="preserve"> nor described as linear features. These road systems </w:t>
      </w:r>
      <w:r w:rsidR="00F6396C">
        <w:t>are</w:t>
      </w:r>
      <w:r w:rsidR="000124C4">
        <w:t xml:space="preserve"> important in delineating cultural affiliation and link important sites such as the Bluff Great House with other habitation sites in the area.</w:t>
      </w:r>
    </w:p>
    <w:p w:rsidR="00974E0A" w:rsidRDefault="00974E0A" w:rsidP="0073308A">
      <w:pPr>
        <w:pStyle w:val="ListParagraph"/>
        <w:numPr>
          <w:ilvl w:val="0"/>
          <w:numId w:val="5"/>
        </w:numPr>
        <w:tabs>
          <w:tab w:val="left" w:pos="2955"/>
        </w:tabs>
      </w:pPr>
      <w:r>
        <w:t>Note the minor edit required to the description of Table 8-7 which should read “Two Modeled Ecoregions”.</w:t>
      </w:r>
    </w:p>
    <w:p w:rsidR="007017F0" w:rsidRDefault="007017F0" w:rsidP="0073308A">
      <w:pPr>
        <w:pStyle w:val="ListParagraph"/>
        <w:numPr>
          <w:ilvl w:val="0"/>
          <w:numId w:val="5"/>
        </w:numPr>
        <w:tabs>
          <w:tab w:val="left" w:pos="2955"/>
        </w:tabs>
      </w:pPr>
      <w:r>
        <w:t>We noticed that several tables did not include totals. The result is that it is more difficult to see overall results and requires additional time and effort for consulting parties to do our own mathematical overviews.</w:t>
      </w:r>
    </w:p>
    <w:p w:rsidR="002C2672" w:rsidRDefault="007017F0" w:rsidP="0073308A">
      <w:pPr>
        <w:pStyle w:val="ListParagraph"/>
        <w:numPr>
          <w:ilvl w:val="0"/>
          <w:numId w:val="5"/>
        </w:numPr>
        <w:tabs>
          <w:tab w:val="left" w:pos="2955"/>
        </w:tabs>
      </w:pPr>
      <w:r>
        <w:lastRenderedPageBreak/>
        <w:t xml:space="preserve"> </w:t>
      </w:r>
      <w:r w:rsidR="002C2672">
        <w:t>It is difficult to follow the math in several of the tables. We encourage you to provide some aids as to how calculations are being performed.</w:t>
      </w:r>
    </w:p>
    <w:p w:rsidR="00F126EA" w:rsidRDefault="00F126EA" w:rsidP="00617515">
      <w:pPr>
        <w:ind w:left="900"/>
      </w:pPr>
      <w:r>
        <w:t>Thank you for your consideration of these comments.</w:t>
      </w:r>
    </w:p>
    <w:p w:rsidR="00F126EA" w:rsidRDefault="00F126EA" w:rsidP="00F126EA">
      <w:pPr>
        <w:spacing w:after="0"/>
        <w:ind w:left="900"/>
      </w:pPr>
      <w:r>
        <w:t>Troy Scotter</w:t>
      </w:r>
    </w:p>
    <w:p w:rsidR="00197AD1" w:rsidRDefault="00F126EA" w:rsidP="00584517">
      <w:pPr>
        <w:ind w:left="900"/>
      </w:pPr>
      <w:r>
        <w:t>Conservation &amp; Preservation Committee</w:t>
      </w:r>
    </w:p>
    <w:p w:rsidR="00197AD1" w:rsidRDefault="00197AD1" w:rsidP="00197AD1">
      <w:pPr>
        <w:pStyle w:val="Date"/>
      </w:pPr>
      <w:r>
        <w:br w:type="page"/>
      </w:r>
    </w:p>
    <w:p w:rsidR="00197AD1" w:rsidRDefault="00197AD1" w:rsidP="002C79E5">
      <w:pPr>
        <w:spacing w:after="0"/>
        <w:ind w:left="907"/>
      </w:pPr>
      <w:r>
        <w:lastRenderedPageBreak/>
        <w:t>Appendi</w:t>
      </w:r>
      <w:r w:rsidR="002C79E5">
        <w:t xml:space="preserve">x 1: Tables 8-5 </w:t>
      </w:r>
      <w:r w:rsidR="004045BE">
        <w:t>and 8-6</w:t>
      </w:r>
      <w:r>
        <w:t xml:space="preserve"> </w:t>
      </w:r>
      <w:proofErr w:type="gramStart"/>
      <w:r>
        <w:t>In</w:t>
      </w:r>
      <w:proofErr w:type="gramEnd"/>
      <w:r>
        <w:t xml:space="preserve"> An Understandable Format</w:t>
      </w:r>
      <w:r w:rsidR="001C14F8">
        <w:t xml:space="preserve"> And Aggregate Data</w:t>
      </w:r>
    </w:p>
    <w:p w:rsidR="002C79E5" w:rsidRDefault="002C79E5" w:rsidP="002C79E5">
      <w:pPr>
        <w:spacing w:after="0" w:line="240" w:lineRule="auto"/>
        <w:ind w:left="900"/>
      </w:pPr>
      <w:r w:rsidRPr="002C79E5">
        <w:rPr>
          <w:sz w:val="18"/>
        </w:rPr>
        <w:t>Note that the data in the following tables is only for the preferred data sample and that we could not replicate % Sites Predicted values in the tables so we substituted a formula for Total % Correct used in previous Class I literature. We didn’t attempt to replicate acreage, gain, precision, or improvement over chance calculations.</w:t>
      </w:r>
    </w:p>
    <w:p w:rsidR="004045BE" w:rsidRDefault="004045BE" w:rsidP="006D2648">
      <w:pPr>
        <w:ind w:left="900"/>
      </w:pPr>
      <w:r w:rsidRPr="004045BE">
        <w:rPr>
          <w:noProof/>
        </w:rPr>
        <w:drawing>
          <wp:inline distT="0" distB="0" distL="0" distR="0" wp14:anchorId="5FF8A63E" wp14:editId="610E7F8C">
            <wp:extent cx="5287871" cy="5238414"/>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9600" cy="5240127"/>
                    </a:xfrm>
                    <a:prstGeom prst="rect">
                      <a:avLst/>
                    </a:prstGeom>
                    <a:noFill/>
                    <a:ln>
                      <a:noFill/>
                    </a:ln>
                  </pic:spPr>
                </pic:pic>
              </a:graphicData>
            </a:graphic>
          </wp:inline>
        </w:drawing>
      </w:r>
    </w:p>
    <w:p w:rsidR="00C07090" w:rsidRDefault="00C07090" w:rsidP="006D2648">
      <w:pPr>
        <w:ind w:left="900"/>
      </w:pPr>
    </w:p>
    <w:sectPr w:rsidR="00C07090" w:rsidSect="007E646D">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34" w:rsidRDefault="00616434" w:rsidP="007E646D">
      <w:pPr>
        <w:spacing w:after="0" w:line="240" w:lineRule="auto"/>
      </w:pPr>
      <w:r>
        <w:separator/>
      </w:r>
    </w:p>
  </w:endnote>
  <w:endnote w:type="continuationSeparator" w:id="0">
    <w:p w:rsidR="00616434" w:rsidRDefault="00616434" w:rsidP="007E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6D" w:rsidRPr="00FA438C" w:rsidRDefault="007E646D">
    <w:pPr>
      <w:pStyle w:val="Footer"/>
      <w:rPr>
        <w:color w:val="808080" w:themeColor="background1" w:themeShade="80"/>
      </w:rPr>
    </w:pPr>
    <w:r w:rsidRPr="00FA438C">
      <w:rPr>
        <w:color w:val="808080" w:themeColor="background1" w:themeShade="80"/>
      </w:rPr>
      <w:t>Preserve, Appreciate, and Study Rock Art</w:t>
    </w:r>
    <w:r w:rsidR="0064619B">
      <w:rPr>
        <w:color w:val="808080" w:themeColor="background1" w:themeShade="80"/>
      </w:rPr>
      <w:tab/>
    </w:r>
    <w:r w:rsidR="0064619B">
      <w:rPr>
        <w:color w:val="808080" w:themeColor="background1" w:themeShade="80"/>
      </w:rPr>
      <w:tab/>
      <w:t xml:space="preserve">Page </w:t>
    </w:r>
    <w:r w:rsidR="0064619B" w:rsidRPr="0064619B">
      <w:rPr>
        <w:color w:val="808080" w:themeColor="background1" w:themeShade="80"/>
      </w:rPr>
      <w:fldChar w:fldCharType="begin"/>
    </w:r>
    <w:r w:rsidR="0064619B" w:rsidRPr="0064619B">
      <w:rPr>
        <w:color w:val="808080" w:themeColor="background1" w:themeShade="80"/>
      </w:rPr>
      <w:instrText xml:space="preserve"> PAGE   \* MERGEFORMAT </w:instrText>
    </w:r>
    <w:r w:rsidR="0064619B" w:rsidRPr="0064619B">
      <w:rPr>
        <w:color w:val="808080" w:themeColor="background1" w:themeShade="80"/>
      </w:rPr>
      <w:fldChar w:fldCharType="separate"/>
    </w:r>
    <w:r w:rsidR="00C71A61">
      <w:rPr>
        <w:noProof/>
        <w:color w:val="808080" w:themeColor="background1" w:themeShade="80"/>
      </w:rPr>
      <w:t>8</w:t>
    </w:r>
    <w:r w:rsidR="0064619B" w:rsidRPr="0064619B">
      <w:rPr>
        <w:noProof/>
        <w:color w:val="808080" w:themeColor="background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6D" w:rsidRPr="007E646D" w:rsidRDefault="007E646D">
    <w:pPr>
      <w:pStyle w:val="Footer"/>
      <w:rPr>
        <w:color w:val="A6A6A6" w:themeColor="background1" w:themeShade="A6"/>
      </w:rPr>
    </w:pPr>
    <w:r w:rsidRPr="007E646D">
      <w:rPr>
        <w:noProof/>
        <w:color w:val="A6A6A6" w:themeColor="background1" w:themeShade="A6"/>
      </w:rPr>
      <w:t>Preserve, Appreciate, and Study Rock 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34" w:rsidRDefault="00616434" w:rsidP="007E646D">
      <w:pPr>
        <w:spacing w:after="0" w:line="240" w:lineRule="auto"/>
      </w:pPr>
      <w:r>
        <w:separator/>
      </w:r>
    </w:p>
  </w:footnote>
  <w:footnote w:type="continuationSeparator" w:id="0">
    <w:p w:rsidR="00616434" w:rsidRDefault="00616434" w:rsidP="007E646D">
      <w:pPr>
        <w:spacing w:after="0" w:line="240" w:lineRule="auto"/>
      </w:pPr>
      <w:r>
        <w:continuationSeparator/>
      </w:r>
    </w:p>
  </w:footnote>
  <w:footnote w:id="1">
    <w:p w:rsidR="005E1C06" w:rsidRDefault="005E1C06">
      <w:pPr>
        <w:pStyle w:val="FootnoteText"/>
      </w:pPr>
      <w:r>
        <w:rPr>
          <w:rStyle w:val="FootnoteReference"/>
        </w:rPr>
        <w:footnoteRef/>
      </w:r>
      <w:r w:rsidR="000530EE">
        <w:t xml:space="preserve"> Page 1-4</w:t>
      </w:r>
    </w:p>
  </w:footnote>
  <w:footnote w:id="2">
    <w:p w:rsidR="005E1C06" w:rsidRDefault="005E1C06">
      <w:pPr>
        <w:pStyle w:val="FootnoteText"/>
      </w:pPr>
      <w:r>
        <w:rPr>
          <w:rStyle w:val="FootnoteReference"/>
        </w:rPr>
        <w:footnoteRef/>
      </w:r>
      <w:r>
        <w:t xml:space="preserve"> Text page</w:t>
      </w:r>
      <w:r w:rsidR="000530EE">
        <w:t xml:space="preserve"> 4-11 and Table 4-1</w:t>
      </w:r>
      <w:r>
        <w:t xml:space="preserve">. Either </w:t>
      </w:r>
      <w:r w:rsidR="000530EE">
        <w:t>229,848</w:t>
      </w:r>
      <w:r>
        <w:t xml:space="preserve"> acres</w:t>
      </w:r>
      <w:r w:rsidR="000530EE">
        <w:t xml:space="preserve"> (text) (5%) or 246,871</w:t>
      </w:r>
      <w:r>
        <w:t xml:space="preserve"> acres</w:t>
      </w:r>
      <w:r w:rsidR="000530EE">
        <w:t xml:space="preserve"> (table 4-1) (5.4</w:t>
      </w:r>
      <w:r>
        <w:t xml:space="preserve">%) </w:t>
      </w:r>
      <w:r w:rsidR="000530EE">
        <w:t xml:space="preserve">of the 4,582,958 field office acreage </w:t>
      </w:r>
      <w:r>
        <w:t>have been surveyed.</w:t>
      </w:r>
    </w:p>
  </w:footnote>
  <w:footnote w:id="3">
    <w:p w:rsidR="005E1C06" w:rsidRDefault="005E1C06">
      <w:pPr>
        <w:pStyle w:val="FootnoteText"/>
      </w:pPr>
      <w:r>
        <w:rPr>
          <w:rStyle w:val="FootnoteReference"/>
        </w:rPr>
        <w:footnoteRef/>
      </w:r>
      <w:r w:rsidR="000530EE">
        <w:t xml:space="preserve"> </w:t>
      </w:r>
      <w:proofErr w:type="gramStart"/>
      <w:r w:rsidR="000530EE">
        <w:t>Table 4-1.</w:t>
      </w:r>
      <w:proofErr w:type="gramEnd"/>
      <w:r w:rsidR="000530EE">
        <w:t xml:space="preserve"> </w:t>
      </w:r>
      <w:proofErr w:type="gramStart"/>
      <w:r w:rsidR="000530EE">
        <w:t>96,590</w:t>
      </w:r>
      <w:r>
        <w:t xml:space="preserve"> acres of the </w:t>
      </w:r>
      <w:r w:rsidR="000530EE">
        <w:t xml:space="preserve">4,582,958 </w:t>
      </w:r>
      <w:r>
        <w:t>acres in the MFO boundaries.</w:t>
      </w:r>
      <w:proofErr w:type="gramEnd"/>
    </w:p>
  </w:footnote>
  <w:footnote w:id="4">
    <w:p w:rsidR="004653DC" w:rsidRDefault="004653DC">
      <w:pPr>
        <w:pStyle w:val="FootnoteText"/>
      </w:pPr>
      <w:r>
        <w:rPr>
          <w:rStyle w:val="FootnoteReference"/>
        </w:rPr>
        <w:footnoteRef/>
      </w:r>
      <w:r w:rsidR="003C1FBE">
        <w:t xml:space="preserve"> P.</w:t>
      </w:r>
      <w:r>
        <w:t xml:space="preserve"> 8-7</w:t>
      </w:r>
    </w:p>
  </w:footnote>
  <w:footnote w:id="5">
    <w:p w:rsidR="004045BE" w:rsidRDefault="004045BE" w:rsidP="004045BE">
      <w:pPr>
        <w:pStyle w:val="FootnoteText"/>
      </w:pPr>
      <w:r>
        <w:rPr>
          <w:rStyle w:val="FootnoteReference"/>
        </w:rPr>
        <w:footnoteRef/>
      </w:r>
      <w:r>
        <w:t xml:space="preserve"> See Appendix 1 for the derivation of the aggregate data</w:t>
      </w:r>
    </w:p>
  </w:footnote>
  <w:footnote w:id="6">
    <w:p w:rsidR="004045BE" w:rsidRDefault="004045BE" w:rsidP="004045BE">
      <w:pPr>
        <w:pStyle w:val="FootnoteText"/>
      </w:pPr>
      <w:r>
        <w:rPr>
          <w:rStyle w:val="FootnoteReference"/>
        </w:rPr>
        <w:footnoteRef/>
      </w:r>
      <w:r>
        <w:t xml:space="preserve"> P. 8-20</w:t>
      </w:r>
    </w:p>
  </w:footnote>
  <w:footnote w:id="7">
    <w:p w:rsidR="007C5422" w:rsidRDefault="007C5422">
      <w:pPr>
        <w:pStyle w:val="FootnoteText"/>
      </w:pPr>
      <w:r>
        <w:rPr>
          <w:rStyle w:val="FootnoteReference"/>
        </w:rPr>
        <w:footnoteRef/>
      </w:r>
      <w:r>
        <w:t xml:space="preserve"> Table 2-2 and Page 2-8</w:t>
      </w:r>
    </w:p>
  </w:footnote>
  <w:footnote w:id="8">
    <w:p w:rsidR="00CC1AC2" w:rsidRDefault="00CC1AC2">
      <w:pPr>
        <w:pStyle w:val="FootnoteText"/>
      </w:pPr>
      <w:r>
        <w:rPr>
          <w:rStyle w:val="FootnoteReference"/>
        </w:rPr>
        <w:footnoteRef/>
      </w:r>
      <w:r>
        <w:t xml:space="preserve"> </w:t>
      </w:r>
      <w:proofErr w:type="gramStart"/>
      <w:r>
        <w:t>Jenkinson, Richard; Rock Art on an Ancient Migratory Route; Utah Rock Art Volume 30, 2010.</w:t>
      </w:r>
      <w:proofErr w:type="gramEnd"/>
    </w:p>
  </w:footnote>
  <w:footnote w:id="9">
    <w:p w:rsidR="00C1336E" w:rsidRDefault="00C1336E">
      <w:pPr>
        <w:pStyle w:val="FootnoteText"/>
      </w:pPr>
      <w:r>
        <w:rPr>
          <w:rStyle w:val="FootnoteReference"/>
        </w:rPr>
        <w:footnoteRef/>
      </w:r>
      <w:r w:rsidR="00350DB0">
        <w:t xml:space="preserve"> P. 8-10</w:t>
      </w:r>
    </w:p>
  </w:footnote>
  <w:footnote w:id="10">
    <w:p w:rsidR="00C1365C" w:rsidRDefault="00C1365C">
      <w:pPr>
        <w:pStyle w:val="FootnoteText"/>
      </w:pPr>
      <w:r>
        <w:rPr>
          <w:rStyle w:val="FootnoteReference"/>
        </w:rPr>
        <w:footnoteRef/>
      </w:r>
      <w:r>
        <w:t xml:space="preserve"> P. 8-63</w:t>
      </w:r>
    </w:p>
  </w:footnote>
  <w:footnote w:id="11">
    <w:p w:rsidR="00557DBD" w:rsidRDefault="00557DBD">
      <w:pPr>
        <w:pStyle w:val="FootnoteText"/>
      </w:pPr>
      <w:r>
        <w:rPr>
          <w:rStyle w:val="FootnoteReference"/>
        </w:rPr>
        <w:footnoteRef/>
      </w:r>
      <w:r>
        <w:t xml:space="preserve"> P. 1-3</w:t>
      </w:r>
    </w:p>
  </w:footnote>
  <w:footnote w:id="12">
    <w:p w:rsidR="00FA545A" w:rsidRDefault="00FA545A">
      <w:pPr>
        <w:pStyle w:val="FootnoteText"/>
      </w:pPr>
      <w:r>
        <w:rPr>
          <w:rStyle w:val="FootnoteReference"/>
        </w:rPr>
        <w:footnoteRef/>
      </w:r>
      <w:r w:rsidR="000E24E2">
        <w:t xml:space="preserve"> Table 8-7 (3,999/17,575</w:t>
      </w:r>
      <w:r w:rsidR="00657176">
        <w:t>=22.7</w:t>
      </w:r>
      <w:r w:rsidR="00DC0838">
        <w:t>%</w:t>
      </w:r>
      <w:r>
        <w:t>)</w:t>
      </w:r>
    </w:p>
  </w:footnote>
  <w:footnote w:id="13">
    <w:p w:rsidR="00DD1BBF" w:rsidRDefault="00DD1BBF">
      <w:pPr>
        <w:pStyle w:val="FootnoteText"/>
      </w:pPr>
      <w:r>
        <w:rPr>
          <w:rStyle w:val="FootnoteReference"/>
        </w:rPr>
        <w:footnoteRef/>
      </w:r>
      <w:r w:rsidR="00657176">
        <w:t xml:space="preserve"> Table 8-7</w:t>
      </w:r>
    </w:p>
  </w:footnote>
  <w:footnote w:id="14">
    <w:p w:rsidR="00DC0838" w:rsidRDefault="00DC0838">
      <w:pPr>
        <w:pStyle w:val="FootnoteText"/>
      </w:pPr>
      <w:r>
        <w:rPr>
          <w:rStyle w:val="FootnoteReference"/>
        </w:rPr>
        <w:footnoteRef/>
      </w:r>
      <w:r>
        <w:t xml:space="preserve"> P. 8-43</w:t>
      </w:r>
    </w:p>
  </w:footnote>
  <w:footnote w:id="15">
    <w:p w:rsidR="00824C9D" w:rsidRDefault="00824C9D">
      <w:pPr>
        <w:pStyle w:val="FootnoteText"/>
      </w:pPr>
      <w:r>
        <w:rPr>
          <w:rStyle w:val="FootnoteReference"/>
        </w:rPr>
        <w:footnoteRef/>
      </w:r>
      <w:r w:rsidR="00630B06">
        <w:t xml:space="preserve"> P. 8-3</w:t>
      </w:r>
    </w:p>
  </w:footnote>
  <w:footnote w:id="16">
    <w:p w:rsidR="004C5EC3" w:rsidRDefault="004C5EC3">
      <w:pPr>
        <w:pStyle w:val="FootnoteText"/>
      </w:pPr>
      <w:bookmarkStart w:id="0" w:name="_GoBack"/>
      <w:bookmarkEnd w:id="0"/>
      <w:r>
        <w:rPr>
          <w:rStyle w:val="FootnoteReference"/>
        </w:rPr>
        <w:footnoteRef/>
      </w:r>
      <w:r>
        <w:t xml:space="preserve"> P. 8-62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1C3E"/>
    <w:multiLevelType w:val="hybridMultilevel"/>
    <w:tmpl w:val="65B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D6DE3"/>
    <w:multiLevelType w:val="hybridMultilevel"/>
    <w:tmpl w:val="B9D848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28934FDD"/>
    <w:multiLevelType w:val="hybridMultilevel"/>
    <w:tmpl w:val="1DEE8250"/>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nsid w:val="42ED3694"/>
    <w:multiLevelType w:val="hybridMultilevel"/>
    <w:tmpl w:val="36ACDB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592359CE"/>
    <w:multiLevelType w:val="hybridMultilevel"/>
    <w:tmpl w:val="2B84D7C6"/>
    <w:lvl w:ilvl="0" w:tplc="CE30BDC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01D0934"/>
    <w:multiLevelType w:val="hybridMultilevel"/>
    <w:tmpl w:val="9EC6B82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73183545"/>
    <w:multiLevelType w:val="hybridMultilevel"/>
    <w:tmpl w:val="B1D0076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A7"/>
    <w:rsid w:val="0000184A"/>
    <w:rsid w:val="00005415"/>
    <w:rsid w:val="000124C4"/>
    <w:rsid w:val="0005281A"/>
    <w:rsid w:val="000530EE"/>
    <w:rsid w:val="00075DEA"/>
    <w:rsid w:val="0009290F"/>
    <w:rsid w:val="00093EB0"/>
    <w:rsid w:val="000B3532"/>
    <w:rsid w:val="000E24E2"/>
    <w:rsid w:val="00100D52"/>
    <w:rsid w:val="001024ED"/>
    <w:rsid w:val="00107441"/>
    <w:rsid w:val="00111469"/>
    <w:rsid w:val="00116077"/>
    <w:rsid w:val="0017458A"/>
    <w:rsid w:val="0017551B"/>
    <w:rsid w:val="00183C6D"/>
    <w:rsid w:val="00184B63"/>
    <w:rsid w:val="00197AD1"/>
    <w:rsid w:val="001A5FCC"/>
    <w:rsid w:val="001C14F8"/>
    <w:rsid w:val="001C7CEF"/>
    <w:rsid w:val="00214777"/>
    <w:rsid w:val="00220F37"/>
    <w:rsid w:val="002562D3"/>
    <w:rsid w:val="00276600"/>
    <w:rsid w:val="0028044E"/>
    <w:rsid w:val="002A139F"/>
    <w:rsid w:val="002B49F6"/>
    <w:rsid w:val="002B6CB0"/>
    <w:rsid w:val="002C2672"/>
    <w:rsid w:val="002C79E5"/>
    <w:rsid w:val="002D4996"/>
    <w:rsid w:val="002E528B"/>
    <w:rsid w:val="002F5DBA"/>
    <w:rsid w:val="002F6779"/>
    <w:rsid w:val="00304AB8"/>
    <w:rsid w:val="00350DB0"/>
    <w:rsid w:val="003656E9"/>
    <w:rsid w:val="0037434B"/>
    <w:rsid w:val="00381F0D"/>
    <w:rsid w:val="003A1B11"/>
    <w:rsid w:val="003C1FBE"/>
    <w:rsid w:val="003C22D8"/>
    <w:rsid w:val="003C2632"/>
    <w:rsid w:val="003C2FC5"/>
    <w:rsid w:val="003D0917"/>
    <w:rsid w:val="004045BE"/>
    <w:rsid w:val="00411479"/>
    <w:rsid w:val="00413977"/>
    <w:rsid w:val="00414104"/>
    <w:rsid w:val="0044343D"/>
    <w:rsid w:val="0044433C"/>
    <w:rsid w:val="004454A6"/>
    <w:rsid w:val="00463E8F"/>
    <w:rsid w:val="004653DC"/>
    <w:rsid w:val="004C5EC3"/>
    <w:rsid w:val="004D12D0"/>
    <w:rsid w:val="004D7621"/>
    <w:rsid w:val="004D7B20"/>
    <w:rsid w:val="004E320F"/>
    <w:rsid w:val="004E7A19"/>
    <w:rsid w:val="004F6DCC"/>
    <w:rsid w:val="00525432"/>
    <w:rsid w:val="00557DBD"/>
    <w:rsid w:val="00570BF3"/>
    <w:rsid w:val="0057473C"/>
    <w:rsid w:val="005813E8"/>
    <w:rsid w:val="00582DCD"/>
    <w:rsid w:val="00584517"/>
    <w:rsid w:val="005A5074"/>
    <w:rsid w:val="005C01EE"/>
    <w:rsid w:val="005E1C06"/>
    <w:rsid w:val="005E5749"/>
    <w:rsid w:val="00614D79"/>
    <w:rsid w:val="00616434"/>
    <w:rsid w:val="00617515"/>
    <w:rsid w:val="00626042"/>
    <w:rsid w:val="00630B06"/>
    <w:rsid w:val="00635938"/>
    <w:rsid w:val="00643210"/>
    <w:rsid w:val="00643DA1"/>
    <w:rsid w:val="0064619B"/>
    <w:rsid w:val="00657176"/>
    <w:rsid w:val="00673461"/>
    <w:rsid w:val="006974B2"/>
    <w:rsid w:val="006A0042"/>
    <w:rsid w:val="006A7FAC"/>
    <w:rsid w:val="006C61C4"/>
    <w:rsid w:val="006D2648"/>
    <w:rsid w:val="006F4B2D"/>
    <w:rsid w:val="006F5722"/>
    <w:rsid w:val="006F6845"/>
    <w:rsid w:val="006F6DD3"/>
    <w:rsid w:val="007017F0"/>
    <w:rsid w:val="00701A06"/>
    <w:rsid w:val="0072438D"/>
    <w:rsid w:val="0073308A"/>
    <w:rsid w:val="00757A87"/>
    <w:rsid w:val="00763DF6"/>
    <w:rsid w:val="00793A33"/>
    <w:rsid w:val="007A25BA"/>
    <w:rsid w:val="007A3AAB"/>
    <w:rsid w:val="007B71FA"/>
    <w:rsid w:val="007C50E5"/>
    <w:rsid w:val="007C5422"/>
    <w:rsid w:val="007D6E5D"/>
    <w:rsid w:val="007E646D"/>
    <w:rsid w:val="007F1614"/>
    <w:rsid w:val="00824C9D"/>
    <w:rsid w:val="00826534"/>
    <w:rsid w:val="008314A2"/>
    <w:rsid w:val="00834A0A"/>
    <w:rsid w:val="008376CE"/>
    <w:rsid w:val="008501FB"/>
    <w:rsid w:val="00855CFE"/>
    <w:rsid w:val="00866A0A"/>
    <w:rsid w:val="008752BF"/>
    <w:rsid w:val="0087773D"/>
    <w:rsid w:val="008A1379"/>
    <w:rsid w:val="008D1E19"/>
    <w:rsid w:val="00903269"/>
    <w:rsid w:val="009422CD"/>
    <w:rsid w:val="00971A9F"/>
    <w:rsid w:val="00971EA0"/>
    <w:rsid w:val="00974E0A"/>
    <w:rsid w:val="009B0BEE"/>
    <w:rsid w:val="009E5347"/>
    <w:rsid w:val="00A06793"/>
    <w:rsid w:val="00A31FC7"/>
    <w:rsid w:val="00A57F1A"/>
    <w:rsid w:val="00A61D97"/>
    <w:rsid w:val="00A86B98"/>
    <w:rsid w:val="00AA1AB6"/>
    <w:rsid w:val="00AA28FE"/>
    <w:rsid w:val="00AA4C04"/>
    <w:rsid w:val="00AD062F"/>
    <w:rsid w:val="00AD66D4"/>
    <w:rsid w:val="00AE7FC6"/>
    <w:rsid w:val="00AF2E40"/>
    <w:rsid w:val="00B075C7"/>
    <w:rsid w:val="00B201AE"/>
    <w:rsid w:val="00B23EAE"/>
    <w:rsid w:val="00B30251"/>
    <w:rsid w:val="00B3482F"/>
    <w:rsid w:val="00B626E7"/>
    <w:rsid w:val="00B70349"/>
    <w:rsid w:val="00B7784C"/>
    <w:rsid w:val="00B8006A"/>
    <w:rsid w:val="00B83BE6"/>
    <w:rsid w:val="00BA131C"/>
    <w:rsid w:val="00BA4095"/>
    <w:rsid w:val="00BB5051"/>
    <w:rsid w:val="00BB646B"/>
    <w:rsid w:val="00BB70E8"/>
    <w:rsid w:val="00BC1F7D"/>
    <w:rsid w:val="00BC67C9"/>
    <w:rsid w:val="00BD4476"/>
    <w:rsid w:val="00BE11DA"/>
    <w:rsid w:val="00BE1368"/>
    <w:rsid w:val="00BF32BE"/>
    <w:rsid w:val="00C07090"/>
    <w:rsid w:val="00C1336E"/>
    <w:rsid w:val="00C1365C"/>
    <w:rsid w:val="00C44CA1"/>
    <w:rsid w:val="00C53291"/>
    <w:rsid w:val="00C67EC0"/>
    <w:rsid w:val="00C71A61"/>
    <w:rsid w:val="00C81F3E"/>
    <w:rsid w:val="00C86C4F"/>
    <w:rsid w:val="00CA1CA7"/>
    <w:rsid w:val="00CA5101"/>
    <w:rsid w:val="00CC1AC2"/>
    <w:rsid w:val="00D0692B"/>
    <w:rsid w:val="00D17DDE"/>
    <w:rsid w:val="00D24D63"/>
    <w:rsid w:val="00D42035"/>
    <w:rsid w:val="00D42D90"/>
    <w:rsid w:val="00D47381"/>
    <w:rsid w:val="00D9266E"/>
    <w:rsid w:val="00DC0838"/>
    <w:rsid w:val="00DC2837"/>
    <w:rsid w:val="00DD1BBF"/>
    <w:rsid w:val="00DE4CB8"/>
    <w:rsid w:val="00DE56E0"/>
    <w:rsid w:val="00DE6406"/>
    <w:rsid w:val="00DE6FBE"/>
    <w:rsid w:val="00DF00E7"/>
    <w:rsid w:val="00E03A07"/>
    <w:rsid w:val="00E230C6"/>
    <w:rsid w:val="00E539FB"/>
    <w:rsid w:val="00E5777B"/>
    <w:rsid w:val="00E66E08"/>
    <w:rsid w:val="00EC0DE1"/>
    <w:rsid w:val="00EC0E0C"/>
    <w:rsid w:val="00EC4DCA"/>
    <w:rsid w:val="00F05FEE"/>
    <w:rsid w:val="00F11107"/>
    <w:rsid w:val="00F126EA"/>
    <w:rsid w:val="00F304A7"/>
    <w:rsid w:val="00F54221"/>
    <w:rsid w:val="00F6396C"/>
    <w:rsid w:val="00FA0569"/>
    <w:rsid w:val="00FA438C"/>
    <w:rsid w:val="00FA545A"/>
    <w:rsid w:val="00FC7F27"/>
    <w:rsid w:val="00FD6EB6"/>
    <w:rsid w:val="00FE2579"/>
    <w:rsid w:val="00FF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584517"/>
    <w:pPr>
      <w:keepNext/>
      <w:tabs>
        <w:tab w:val="right" w:pos="8640"/>
      </w:tabs>
      <w:spacing w:after="0" w:line="240" w:lineRule="auto"/>
      <w:ind w:left="90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4517"/>
    <w:rPr>
      <w:rFonts w:ascii="Times New Roman" w:eastAsia="Times New Roman" w:hAnsi="Times New Roman" w:cs="Times New Roman"/>
      <w:sz w:val="24"/>
      <w:szCs w:val="20"/>
    </w:rPr>
  </w:style>
  <w:style w:type="paragraph" w:customStyle="1" w:styleId="CompanyName">
    <w:name w:val="Company Name"/>
    <w:basedOn w:val="Normal"/>
    <w:next w:val="Date"/>
    <w:rsid w:val="00584517"/>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unhideWhenUsed/>
    <w:rsid w:val="00584517"/>
  </w:style>
  <w:style w:type="character" w:customStyle="1" w:styleId="DateChar">
    <w:name w:val="Date Char"/>
    <w:basedOn w:val="DefaultParagraphFont"/>
    <w:link w:val="Date"/>
    <w:uiPriority w:val="99"/>
    <w:rsid w:val="00584517"/>
  </w:style>
  <w:style w:type="character" w:styleId="Hyperlink">
    <w:name w:val="Hyperlink"/>
    <w:basedOn w:val="DefaultParagraphFont"/>
    <w:uiPriority w:val="99"/>
    <w:unhideWhenUsed/>
    <w:rsid w:val="00584517"/>
    <w:rPr>
      <w:color w:val="0000FF" w:themeColor="hyperlink"/>
      <w:u w:val="single"/>
    </w:rPr>
  </w:style>
  <w:style w:type="paragraph" w:styleId="BalloonText">
    <w:name w:val="Balloon Text"/>
    <w:basedOn w:val="Normal"/>
    <w:link w:val="BalloonTextChar"/>
    <w:uiPriority w:val="99"/>
    <w:semiHidden/>
    <w:unhideWhenUsed/>
    <w:rsid w:val="005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7"/>
    <w:rPr>
      <w:rFonts w:ascii="Tahoma" w:hAnsi="Tahoma" w:cs="Tahoma"/>
      <w:sz w:val="16"/>
      <w:szCs w:val="16"/>
    </w:rPr>
  </w:style>
  <w:style w:type="paragraph" w:styleId="Header">
    <w:name w:val="header"/>
    <w:basedOn w:val="Normal"/>
    <w:link w:val="HeaderChar"/>
    <w:uiPriority w:val="99"/>
    <w:unhideWhenUsed/>
    <w:rsid w:val="007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6D"/>
  </w:style>
  <w:style w:type="paragraph" w:styleId="Footer">
    <w:name w:val="footer"/>
    <w:basedOn w:val="Normal"/>
    <w:link w:val="FooterChar"/>
    <w:uiPriority w:val="99"/>
    <w:unhideWhenUsed/>
    <w:rsid w:val="007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6D"/>
  </w:style>
  <w:style w:type="paragraph" w:styleId="FootnoteText">
    <w:name w:val="footnote text"/>
    <w:basedOn w:val="Normal"/>
    <w:link w:val="FootnoteTextChar"/>
    <w:uiPriority w:val="99"/>
    <w:semiHidden/>
    <w:unhideWhenUsed/>
    <w:rsid w:val="00F54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221"/>
    <w:rPr>
      <w:sz w:val="20"/>
      <w:szCs w:val="20"/>
    </w:rPr>
  </w:style>
  <w:style w:type="character" w:styleId="FootnoteReference">
    <w:name w:val="footnote reference"/>
    <w:basedOn w:val="DefaultParagraphFont"/>
    <w:uiPriority w:val="99"/>
    <w:semiHidden/>
    <w:unhideWhenUsed/>
    <w:rsid w:val="00F54221"/>
    <w:rPr>
      <w:vertAlign w:val="superscript"/>
    </w:rPr>
  </w:style>
  <w:style w:type="paragraph" w:styleId="ListParagraph">
    <w:name w:val="List Paragraph"/>
    <w:basedOn w:val="Normal"/>
    <w:uiPriority w:val="34"/>
    <w:qFormat/>
    <w:rsid w:val="00EC0E0C"/>
    <w:pPr>
      <w:ind w:left="720"/>
      <w:contextualSpacing/>
    </w:pPr>
  </w:style>
  <w:style w:type="character" w:styleId="CommentReference">
    <w:name w:val="annotation reference"/>
    <w:basedOn w:val="DefaultParagraphFont"/>
    <w:uiPriority w:val="99"/>
    <w:semiHidden/>
    <w:unhideWhenUsed/>
    <w:rsid w:val="007C50E5"/>
    <w:rPr>
      <w:sz w:val="16"/>
      <w:szCs w:val="16"/>
    </w:rPr>
  </w:style>
  <w:style w:type="paragraph" w:styleId="CommentText">
    <w:name w:val="annotation text"/>
    <w:basedOn w:val="Normal"/>
    <w:link w:val="CommentTextChar"/>
    <w:uiPriority w:val="99"/>
    <w:semiHidden/>
    <w:unhideWhenUsed/>
    <w:rsid w:val="007C50E5"/>
    <w:pPr>
      <w:spacing w:line="240" w:lineRule="auto"/>
    </w:pPr>
    <w:rPr>
      <w:sz w:val="20"/>
      <w:szCs w:val="20"/>
    </w:rPr>
  </w:style>
  <w:style w:type="character" w:customStyle="1" w:styleId="CommentTextChar">
    <w:name w:val="Comment Text Char"/>
    <w:basedOn w:val="DefaultParagraphFont"/>
    <w:link w:val="CommentText"/>
    <w:uiPriority w:val="99"/>
    <w:semiHidden/>
    <w:rsid w:val="007C50E5"/>
    <w:rPr>
      <w:sz w:val="20"/>
      <w:szCs w:val="20"/>
    </w:rPr>
  </w:style>
  <w:style w:type="paragraph" w:styleId="CommentSubject">
    <w:name w:val="annotation subject"/>
    <w:basedOn w:val="CommentText"/>
    <w:next w:val="CommentText"/>
    <w:link w:val="CommentSubjectChar"/>
    <w:uiPriority w:val="99"/>
    <w:semiHidden/>
    <w:unhideWhenUsed/>
    <w:rsid w:val="007C50E5"/>
    <w:rPr>
      <w:b/>
      <w:bCs/>
    </w:rPr>
  </w:style>
  <w:style w:type="character" w:customStyle="1" w:styleId="CommentSubjectChar">
    <w:name w:val="Comment Subject Char"/>
    <w:basedOn w:val="CommentTextChar"/>
    <w:link w:val="CommentSubject"/>
    <w:uiPriority w:val="99"/>
    <w:semiHidden/>
    <w:rsid w:val="007C50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584517"/>
    <w:pPr>
      <w:keepNext/>
      <w:tabs>
        <w:tab w:val="right" w:pos="8640"/>
      </w:tabs>
      <w:spacing w:after="0" w:line="240" w:lineRule="auto"/>
      <w:ind w:left="90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4517"/>
    <w:rPr>
      <w:rFonts w:ascii="Times New Roman" w:eastAsia="Times New Roman" w:hAnsi="Times New Roman" w:cs="Times New Roman"/>
      <w:sz w:val="24"/>
      <w:szCs w:val="20"/>
    </w:rPr>
  </w:style>
  <w:style w:type="paragraph" w:customStyle="1" w:styleId="CompanyName">
    <w:name w:val="Company Name"/>
    <w:basedOn w:val="Normal"/>
    <w:next w:val="Date"/>
    <w:rsid w:val="00584517"/>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unhideWhenUsed/>
    <w:rsid w:val="00584517"/>
  </w:style>
  <w:style w:type="character" w:customStyle="1" w:styleId="DateChar">
    <w:name w:val="Date Char"/>
    <w:basedOn w:val="DefaultParagraphFont"/>
    <w:link w:val="Date"/>
    <w:uiPriority w:val="99"/>
    <w:rsid w:val="00584517"/>
  </w:style>
  <w:style w:type="character" w:styleId="Hyperlink">
    <w:name w:val="Hyperlink"/>
    <w:basedOn w:val="DefaultParagraphFont"/>
    <w:uiPriority w:val="99"/>
    <w:unhideWhenUsed/>
    <w:rsid w:val="00584517"/>
    <w:rPr>
      <w:color w:val="0000FF" w:themeColor="hyperlink"/>
      <w:u w:val="single"/>
    </w:rPr>
  </w:style>
  <w:style w:type="paragraph" w:styleId="BalloonText">
    <w:name w:val="Balloon Text"/>
    <w:basedOn w:val="Normal"/>
    <w:link w:val="BalloonTextChar"/>
    <w:uiPriority w:val="99"/>
    <w:semiHidden/>
    <w:unhideWhenUsed/>
    <w:rsid w:val="005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7"/>
    <w:rPr>
      <w:rFonts w:ascii="Tahoma" w:hAnsi="Tahoma" w:cs="Tahoma"/>
      <w:sz w:val="16"/>
      <w:szCs w:val="16"/>
    </w:rPr>
  </w:style>
  <w:style w:type="paragraph" w:styleId="Header">
    <w:name w:val="header"/>
    <w:basedOn w:val="Normal"/>
    <w:link w:val="HeaderChar"/>
    <w:uiPriority w:val="99"/>
    <w:unhideWhenUsed/>
    <w:rsid w:val="007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6D"/>
  </w:style>
  <w:style w:type="paragraph" w:styleId="Footer">
    <w:name w:val="footer"/>
    <w:basedOn w:val="Normal"/>
    <w:link w:val="FooterChar"/>
    <w:uiPriority w:val="99"/>
    <w:unhideWhenUsed/>
    <w:rsid w:val="007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6D"/>
  </w:style>
  <w:style w:type="paragraph" w:styleId="FootnoteText">
    <w:name w:val="footnote text"/>
    <w:basedOn w:val="Normal"/>
    <w:link w:val="FootnoteTextChar"/>
    <w:uiPriority w:val="99"/>
    <w:semiHidden/>
    <w:unhideWhenUsed/>
    <w:rsid w:val="00F54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221"/>
    <w:rPr>
      <w:sz w:val="20"/>
      <w:szCs w:val="20"/>
    </w:rPr>
  </w:style>
  <w:style w:type="character" w:styleId="FootnoteReference">
    <w:name w:val="footnote reference"/>
    <w:basedOn w:val="DefaultParagraphFont"/>
    <w:uiPriority w:val="99"/>
    <w:semiHidden/>
    <w:unhideWhenUsed/>
    <w:rsid w:val="00F54221"/>
    <w:rPr>
      <w:vertAlign w:val="superscript"/>
    </w:rPr>
  </w:style>
  <w:style w:type="paragraph" w:styleId="ListParagraph">
    <w:name w:val="List Paragraph"/>
    <w:basedOn w:val="Normal"/>
    <w:uiPriority w:val="34"/>
    <w:qFormat/>
    <w:rsid w:val="00EC0E0C"/>
    <w:pPr>
      <w:ind w:left="720"/>
      <w:contextualSpacing/>
    </w:pPr>
  </w:style>
  <w:style w:type="character" w:styleId="CommentReference">
    <w:name w:val="annotation reference"/>
    <w:basedOn w:val="DefaultParagraphFont"/>
    <w:uiPriority w:val="99"/>
    <w:semiHidden/>
    <w:unhideWhenUsed/>
    <w:rsid w:val="007C50E5"/>
    <w:rPr>
      <w:sz w:val="16"/>
      <w:szCs w:val="16"/>
    </w:rPr>
  </w:style>
  <w:style w:type="paragraph" w:styleId="CommentText">
    <w:name w:val="annotation text"/>
    <w:basedOn w:val="Normal"/>
    <w:link w:val="CommentTextChar"/>
    <w:uiPriority w:val="99"/>
    <w:semiHidden/>
    <w:unhideWhenUsed/>
    <w:rsid w:val="007C50E5"/>
    <w:pPr>
      <w:spacing w:line="240" w:lineRule="auto"/>
    </w:pPr>
    <w:rPr>
      <w:sz w:val="20"/>
      <w:szCs w:val="20"/>
    </w:rPr>
  </w:style>
  <w:style w:type="character" w:customStyle="1" w:styleId="CommentTextChar">
    <w:name w:val="Comment Text Char"/>
    <w:basedOn w:val="DefaultParagraphFont"/>
    <w:link w:val="CommentText"/>
    <w:uiPriority w:val="99"/>
    <w:semiHidden/>
    <w:rsid w:val="007C50E5"/>
    <w:rPr>
      <w:sz w:val="20"/>
      <w:szCs w:val="20"/>
    </w:rPr>
  </w:style>
  <w:style w:type="paragraph" w:styleId="CommentSubject">
    <w:name w:val="annotation subject"/>
    <w:basedOn w:val="CommentText"/>
    <w:next w:val="CommentText"/>
    <w:link w:val="CommentSubjectChar"/>
    <w:uiPriority w:val="99"/>
    <w:semiHidden/>
    <w:unhideWhenUsed/>
    <w:rsid w:val="007C50E5"/>
    <w:rPr>
      <w:b/>
      <w:bCs/>
    </w:rPr>
  </w:style>
  <w:style w:type="character" w:customStyle="1" w:styleId="CommentSubjectChar">
    <w:name w:val="Comment Subject Char"/>
    <w:basedOn w:val="CommentTextChar"/>
    <w:link w:val="CommentSubject"/>
    <w:uiPriority w:val="99"/>
    <w:semiHidden/>
    <w:rsid w:val="007C5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242">
      <w:bodyDiv w:val="1"/>
      <w:marLeft w:val="0"/>
      <w:marRight w:val="0"/>
      <w:marTop w:val="0"/>
      <w:marBottom w:val="0"/>
      <w:divBdr>
        <w:top w:val="none" w:sz="0" w:space="0" w:color="auto"/>
        <w:left w:val="none" w:sz="0" w:space="0" w:color="auto"/>
        <w:bottom w:val="none" w:sz="0" w:space="0" w:color="auto"/>
        <w:right w:val="none" w:sz="0" w:space="0" w:color="auto"/>
      </w:divBdr>
    </w:div>
    <w:div w:id="802963649">
      <w:bodyDiv w:val="1"/>
      <w:marLeft w:val="0"/>
      <w:marRight w:val="0"/>
      <w:marTop w:val="0"/>
      <w:marBottom w:val="0"/>
      <w:divBdr>
        <w:top w:val="none" w:sz="0" w:space="0" w:color="auto"/>
        <w:left w:val="none" w:sz="0" w:space="0" w:color="auto"/>
        <w:bottom w:val="none" w:sz="0" w:space="0" w:color="auto"/>
        <w:right w:val="none" w:sz="0" w:space="0" w:color="auto"/>
      </w:divBdr>
    </w:div>
    <w:div w:id="9836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hrockar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utahrockart.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oy\Documents\URARA\URARA%20Letter%20Template%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88AA-23CC-4F01-86BA-341525F0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URARA Letter Template New Logo</Template>
  <TotalTime>8</TotalTime>
  <Pages>10</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7</cp:revision>
  <dcterms:created xsi:type="dcterms:W3CDTF">2016-08-18T01:46:00Z</dcterms:created>
  <dcterms:modified xsi:type="dcterms:W3CDTF">2016-08-18T19:22:00Z</dcterms:modified>
</cp:coreProperties>
</file>